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6D" w:rsidRPr="00541CFA" w:rsidRDefault="00CB186D" w:rsidP="00CB186D">
      <w:pPr>
        <w:rPr>
          <w:rFonts w:ascii="Times New Roman" w:hAnsi="Times New Roman" w:cs="Times New Roman"/>
          <w:i/>
          <w:lang w:val="it-IT"/>
        </w:rPr>
      </w:pPr>
      <w:r w:rsidRPr="00541CFA">
        <w:rPr>
          <w:rFonts w:ascii="Times New Roman" w:hAnsi="Times New Roman" w:cs="Times New Roman"/>
          <w:lang w:val="it-IT"/>
        </w:rPr>
        <w:br/>
        <w:t xml:space="preserve">- Nella 3 colonna, sono considerati (fonte RGS 2012): </w:t>
      </w:r>
      <w:r w:rsidR="00541CFA">
        <w:rPr>
          <w:rFonts w:ascii="Times New Roman" w:hAnsi="Times New Roman" w:cs="Times New Roman"/>
          <w:lang w:val="it-IT"/>
        </w:rPr>
        <w:t xml:space="preserve"> </w:t>
      </w:r>
      <w:r w:rsidRPr="00541CFA">
        <w:rPr>
          <w:rFonts w:ascii="Times New Roman" w:hAnsi="Times New Roman" w:cs="Times New Roman"/>
          <w:i/>
          <w:color w:val="222222"/>
          <w:shd w:val="clear" w:color="auto" w:fill="FFFFFF"/>
          <w:lang w:val="it-IT"/>
        </w:rPr>
        <w:t>Altre spese accessorie ed indennità varie, Compenso indennità miglioramento offerta formativa, Compenso ore eccedenti, Indennità di funzioni supervisione e di reggenza, Indennità di vacanza contrattuale,</w:t>
      </w:r>
      <w:r w:rsidR="00541CFA" w:rsidRPr="00541CFA">
        <w:rPr>
          <w:rFonts w:ascii="Times New Roman" w:hAnsi="Times New Roman" w:cs="Times New Roman"/>
          <w:i/>
          <w:color w:val="222222"/>
          <w:shd w:val="clear" w:color="auto" w:fill="FFFFFF"/>
          <w:lang w:val="it-IT"/>
        </w:rPr>
        <w:t xml:space="preserve"> Indennità direzione incaricata </w:t>
      </w:r>
      <w:r w:rsidRPr="00541CFA">
        <w:rPr>
          <w:rFonts w:ascii="Times New Roman" w:hAnsi="Times New Roman" w:cs="Times New Roman"/>
          <w:i/>
          <w:color w:val="222222"/>
          <w:shd w:val="clear" w:color="auto" w:fill="FFFFFF"/>
          <w:lang w:val="it-IT"/>
        </w:rPr>
        <w:t>della Dirigenza, Indennità di esame recuperi per ritardi assenze ecc., Retribuzione professionale docenti, Retribuzione di posizione, Retribuzione di posizione-quota variabile, Retribuzione di risultato, Stipendio, Tredicesima mensilità.</w:t>
      </w:r>
    </w:p>
    <w:p w:rsidR="00CB186D" w:rsidRPr="00541CFA" w:rsidRDefault="00CB186D" w:rsidP="00CB186D">
      <w:pPr>
        <w:rPr>
          <w:rFonts w:ascii="Times New Roman" w:hAnsi="Times New Roman" w:cs="Times New Roman"/>
          <w:lang w:val="it-IT"/>
        </w:rPr>
      </w:pPr>
    </w:p>
    <w:p w:rsidR="00CB186D" w:rsidRPr="00541CFA" w:rsidRDefault="00CB186D" w:rsidP="00CB186D">
      <w:pPr>
        <w:rPr>
          <w:rFonts w:ascii="Times New Roman" w:hAnsi="Times New Roman" w:cs="Times New Roman"/>
          <w:lang w:val="it-IT"/>
        </w:rPr>
      </w:pPr>
      <w:r w:rsidRPr="00541CFA">
        <w:rPr>
          <w:rFonts w:ascii="Times New Roman" w:hAnsi="Times New Roman" w:cs="Times New Roman"/>
          <w:lang w:val="it-IT"/>
        </w:rPr>
        <w:t xml:space="preserve">- Sono quattro le retribuzioni necessariamente presenti in ogni cedolino per i dirigenti scolastici italiani: Stipendio tabellare, indennità di vacanza contrattuale, retribuzione di posizione quota fissa e quota variabile. Esiste poi una quinta voce che spetta a tutti: la retribuzione di risultato (presente solo in alcune regioni). Ci sono infine due voci, la RIA e l’assegno ad </w:t>
      </w:r>
      <w:proofErr w:type="spellStart"/>
      <w:r w:rsidRPr="00541CFA">
        <w:rPr>
          <w:rFonts w:ascii="Times New Roman" w:hAnsi="Times New Roman" w:cs="Times New Roman"/>
          <w:lang w:val="it-IT"/>
        </w:rPr>
        <w:t>personam</w:t>
      </w:r>
      <w:proofErr w:type="spellEnd"/>
      <w:r w:rsidRPr="00541CFA">
        <w:rPr>
          <w:rFonts w:ascii="Times New Roman" w:hAnsi="Times New Roman" w:cs="Times New Roman"/>
          <w:lang w:val="it-IT"/>
        </w:rPr>
        <w:t xml:space="preserve"> che spettano solo a alcune categorie di dirigenti. Esiste inoltre un indennità di reggenze: </w:t>
      </w:r>
      <w:r w:rsidRPr="00541CFA">
        <w:rPr>
          <w:rFonts w:ascii="Times New Roman" w:hAnsi="Times New Roman" w:cs="Times New Roman"/>
          <w:color w:val="000000"/>
          <w:lang w:val="it-IT"/>
        </w:rPr>
        <w:t xml:space="preserve">il compenso accessorio che viene erogato al Dirigente scolastico qualora venga affidata loro la reggenza di altra istituzione scolastica a seguito di assenza o impedimento del titolare. </w:t>
      </w:r>
      <w:r w:rsidRPr="00541CFA">
        <w:rPr>
          <w:rFonts w:ascii="Times New Roman" w:hAnsi="Times New Roman" w:cs="Times New Roman"/>
          <w:lang w:val="it-IT"/>
        </w:rPr>
        <w:t xml:space="preserve">La retribuzione di posizione e quella di risultato vengono definite a livello regionale (la contrattazione definisce i criteri per l’attribuzione alle fasce per le singole scuole) in base ai fondi stabiliti per le rispettive retribuzioni. Anche nel caso degli Head </w:t>
      </w:r>
      <w:proofErr w:type="spellStart"/>
      <w:r w:rsidRPr="00541CFA">
        <w:rPr>
          <w:rFonts w:ascii="Times New Roman" w:hAnsi="Times New Roman" w:cs="Times New Roman"/>
          <w:lang w:val="it-IT"/>
        </w:rPr>
        <w:t>Teacher</w:t>
      </w:r>
      <w:proofErr w:type="spellEnd"/>
      <w:r w:rsidRPr="00541CFA">
        <w:rPr>
          <w:rFonts w:ascii="Times New Roman" w:hAnsi="Times New Roman" w:cs="Times New Roman"/>
          <w:lang w:val="it-IT"/>
        </w:rPr>
        <w:t xml:space="preserve">, lo stipendio si basa su di un </w:t>
      </w:r>
      <w:proofErr w:type="spellStart"/>
      <w:r w:rsidRPr="00541CFA">
        <w:rPr>
          <w:rFonts w:ascii="Times New Roman" w:hAnsi="Times New Roman" w:cs="Times New Roman"/>
          <w:lang w:val="it-IT"/>
        </w:rPr>
        <w:t>range</w:t>
      </w:r>
      <w:proofErr w:type="spellEnd"/>
      <w:r w:rsidRPr="00541CFA">
        <w:rPr>
          <w:rFonts w:ascii="Times New Roman" w:hAnsi="Times New Roman" w:cs="Times New Roman"/>
          <w:lang w:val="it-IT"/>
        </w:rPr>
        <w:t xml:space="preserve"> minimo e massimo in cui decidere la cifra secondo soprattutto le performance del dirigente scolastico e dell’istituto stesso. Ad ogni scuola viene assegna un punteggio in base al numero di studenti e altre caratteristiche. In base a questo punteggio la scuola viene classificata in una delle 8 categorie in base alle quali viene definito il </w:t>
      </w:r>
      <w:proofErr w:type="spellStart"/>
      <w:r w:rsidRPr="00541CFA">
        <w:rPr>
          <w:rFonts w:ascii="Times New Roman" w:hAnsi="Times New Roman" w:cs="Times New Roman"/>
          <w:lang w:val="it-IT"/>
        </w:rPr>
        <w:t>range</w:t>
      </w:r>
      <w:proofErr w:type="spellEnd"/>
      <w:r w:rsidRPr="00541CFA">
        <w:rPr>
          <w:rFonts w:ascii="Times New Roman" w:hAnsi="Times New Roman" w:cs="Times New Roman"/>
          <w:lang w:val="it-IT"/>
        </w:rPr>
        <w:t xml:space="preserve"> dello stipendio del preside.   </w:t>
      </w:r>
      <w:r w:rsidRPr="00541CFA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All’interno di ogni categoria il salario è stabilito su regole di raggiungimento di obiettivi di performance. </w:t>
      </w:r>
    </w:p>
    <w:p w:rsidR="00CB186D" w:rsidRPr="00541CFA" w:rsidRDefault="00CB186D" w:rsidP="00457F14">
      <w:pPr>
        <w:rPr>
          <w:rFonts w:ascii="Times New Roman" w:hAnsi="Times New Roman" w:cs="Times New Roman"/>
          <w:lang w:val="it-IT"/>
        </w:rPr>
      </w:pPr>
    </w:p>
    <w:p w:rsidR="00CB186D" w:rsidRPr="00541CFA" w:rsidRDefault="00CB186D" w:rsidP="00457F14">
      <w:pPr>
        <w:rPr>
          <w:rFonts w:ascii="Times New Roman" w:hAnsi="Times New Roman" w:cs="Times New Roman"/>
          <w:lang w:val="it-IT"/>
        </w:rPr>
      </w:pPr>
    </w:p>
    <w:p w:rsidR="00CB186D" w:rsidRPr="00541CFA" w:rsidRDefault="00CB186D" w:rsidP="00457F14">
      <w:pPr>
        <w:rPr>
          <w:rFonts w:ascii="Times New Roman" w:hAnsi="Times New Roman" w:cs="Times New Roman"/>
          <w:lang w:val="it-IT"/>
        </w:rPr>
      </w:pPr>
    </w:p>
    <w:p w:rsidR="00457F14" w:rsidRPr="00541CFA" w:rsidRDefault="00457F14" w:rsidP="00457F14">
      <w:pPr>
        <w:rPr>
          <w:rFonts w:ascii="Times New Roman" w:hAnsi="Times New Roman" w:cs="Times New Roman"/>
          <w:lang w:val="it-IT"/>
        </w:rPr>
      </w:pPr>
      <w:r w:rsidRPr="00541CFA">
        <w:rPr>
          <w:rFonts w:ascii="Times New Roman" w:hAnsi="Times New Roman" w:cs="Times New Roman"/>
          <w:lang w:val="it-IT"/>
        </w:rPr>
        <w:t>Salario annuo</w:t>
      </w:r>
      <w:r w:rsidR="00CB186D" w:rsidRPr="00541CFA">
        <w:rPr>
          <w:rFonts w:ascii="Times New Roman" w:hAnsi="Times New Roman" w:cs="Times New Roman"/>
          <w:lang w:val="it-IT"/>
        </w:rPr>
        <w:t xml:space="preserve"> – Head </w:t>
      </w:r>
      <w:proofErr w:type="spellStart"/>
      <w:r w:rsidR="00CB186D" w:rsidRPr="00541CFA">
        <w:rPr>
          <w:rFonts w:ascii="Times New Roman" w:hAnsi="Times New Roman" w:cs="Times New Roman"/>
          <w:lang w:val="it-IT"/>
        </w:rPr>
        <w:t>teacher</w:t>
      </w:r>
      <w:proofErr w:type="spellEnd"/>
      <w:r w:rsidR="00CB186D" w:rsidRPr="00541CFA">
        <w:rPr>
          <w:rFonts w:ascii="Times New Roman" w:hAnsi="Times New Roman" w:cs="Times New Roman"/>
          <w:lang w:val="it-IT"/>
        </w:rPr>
        <w:t xml:space="preserve"> </w:t>
      </w:r>
      <w:r w:rsidR="00541CFA">
        <w:rPr>
          <w:rFonts w:ascii="Times New Roman" w:hAnsi="Times New Roman" w:cs="Times New Roman"/>
          <w:lang w:val="it-IT"/>
        </w:rPr>
        <w:t>(in euro)</w:t>
      </w:r>
      <w:bookmarkStart w:id="0" w:name="_GoBack"/>
      <w:bookmarkEnd w:id="0"/>
    </w:p>
    <w:p w:rsidR="00457F14" w:rsidRPr="00541CFA" w:rsidRDefault="00457F14" w:rsidP="00457F14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10143" w:type="dxa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2031"/>
      </w:tblGrid>
      <w:tr w:rsidR="00457F14" w:rsidRPr="00541CFA" w:rsidTr="007326F9">
        <w:trPr>
          <w:trHeight w:val="1014"/>
        </w:trPr>
        <w:tc>
          <w:tcPr>
            <w:tcW w:w="2028" w:type="dxa"/>
            <w:hideMark/>
          </w:tcPr>
          <w:p w:rsidR="00457F14" w:rsidRPr="00541CFA" w:rsidRDefault="00457F14" w:rsidP="0073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hideMark/>
          </w:tcPr>
          <w:p w:rsidR="00457F14" w:rsidRPr="00541CFA" w:rsidRDefault="00457F14" w:rsidP="007326F9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541CFA">
              <w:rPr>
                <w:rFonts w:ascii="Times New Roman" w:hAnsi="Times New Roman" w:cs="Times New Roman"/>
                <w:lang w:val="it-IT"/>
              </w:rPr>
              <w:t>England</w:t>
            </w:r>
            <w:proofErr w:type="spellEnd"/>
            <w:r w:rsidRPr="00541CFA">
              <w:rPr>
                <w:rFonts w:ascii="Times New Roman" w:hAnsi="Times New Roman" w:cs="Times New Roman"/>
                <w:lang w:val="it-IT"/>
              </w:rPr>
              <w:t xml:space="preserve"> and Wales (escludendo</w:t>
            </w:r>
            <w:r w:rsidRPr="00541CFA">
              <w:rPr>
                <w:rFonts w:ascii="Times New Roman" w:hAnsi="Times New Roman" w:cs="Times New Roman"/>
                <w:lang w:val="it-IT"/>
              </w:rPr>
              <w:br/>
              <w:t>l’area di Londra)</w:t>
            </w:r>
          </w:p>
        </w:tc>
        <w:tc>
          <w:tcPr>
            <w:tcW w:w="2028" w:type="dxa"/>
            <w:hideMark/>
          </w:tcPr>
          <w:p w:rsidR="00457F14" w:rsidRPr="00541CFA" w:rsidRDefault="00457F14" w:rsidP="007326F9">
            <w:pPr>
              <w:rPr>
                <w:rFonts w:ascii="Times New Roman" w:hAnsi="Times New Roman" w:cs="Times New Roman"/>
              </w:rPr>
            </w:pPr>
            <w:r w:rsidRPr="00541CFA">
              <w:rPr>
                <w:rFonts w:ascii="Times New Roman" w:hAnsi="Times New Roman" w:cs="Times New Roman"/>
              </w:rPr>
              <w:t xml:space="preserve">Inner </w:t>
            </w:r>
            <w:r w:rsidRPr="00541CFA">
              <w:rPr>
                <w:rFonts w:ascii="Times New Roman" w:hAnsi="Times New Roman" w:cs="Times New Roman"/>
              </w:rPr>
              <w:br/>
              <w:t xml:space="preserve">London </w:t>
            </w:r>
            <w:r w:rsidRPr="00541CFA">
              <w:rPr>
                <w:rFonts w:ascii="Times New Roman" w:hAnsi="Times New Roman" w:cs="Times New Roman"/>
              </w:rPr>
              <w:br/>
              <w:t xml:space="preserve">Area </w:t>
            </w:r>
          </w:p>
        </w:tc>
        <w:tc>
          <w:tcPr>
            <w:tcW w:w="2028" w:type="dxa"/>
            <w:hideMark/>
          </w:tcPr>
          <w:p w:rsidR="00457F14" w:rsidRPr="00541CFA" w:rsidRDefault="00457F14" w:rsidP="007326F9">
            <w:pPr>
              <w:rPr>
                <w:rFonts w:ascii="Times New Roman" w:hAnsi="Times New Roman" w:cs="Times New Roman"/>
              </w:rPr>
            </w:pPr>
            <w:r w:rsidRPr="00541CFA">
              <w:rPr>
                <w:rFonts w:ascii="Times New Roman" w:hAnsi="Times New Roman" w:cs="Times New Roman"/>
              </w:rPr>
              <w:t xml:space="preserve">Outer </w:t>
            </w:r>
            <w:r w:rsidRPr="00541CFA">
              <w:rPr>
                <w:rFonts w:ascii="Times New Roman" w:hAnsi="Times New Roman" w:cs="Times New Roman"/>
              </w:rPr>
              <w:br/>
              <w:t xml:space="preserve">London </w:t>
            </w:r>
            <w:r w:rsidRPr="00541CFA">
              <w:rPr>
                <w:rFonts w:ascii="Times New Roman" w:hAnsi="Times New Roman" w:cs="Times New Roman"/>
              </w:rPr>
              <w:br/>
              <w:t xml:space="preserve">Area </w:t>
            </w:r>
          </w:p>
        </w:tc>
        <w:tc>
          <w:tcPr>
            <w:tcW w:w="2031" w:type="dxa"/>
            <w:hideMark/>
          </w:tcPr>
          <w:p w:rsidR="00457F14" w:rsidRPr="00541CFA" w:rsidRDefault="00457F14" w:rsidP="007326F9">
            <w:pPr>
              <w:rPr>
                <w:rFonts w:ascii="Times New Roman" w:hAnsi="Times New Roman" w:cs="Times New Roman"/>
              </w:rPr>
            </w:pPr>
            <w:r w:rsidRPr="00541CFA">
              <w:rPr>
                <w:rFonts w:ascii="Times New Roman" w:hAnsi="Times New Roman" w:cs="Times New Roman"/>
              </w:rPr>
              <w:t xml:space="preserve">Fringe </w:t>
            </w:r>
            <w:r w:rsidRPr="00541CFA">
              <w:rPr>
                <w:rFonts w:ascii="Times New Roman" w:hAnsi="Times New Roman" w:cs="Times New Roman"/>
              </w:rPr>
              <w:br/>
              <w:t xml:space="preserve">Area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>Gruppo</w:t>
            </w:r>
            <w:proofErr w:type="spellEnd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 xml:space="preserve"> 1 (L6-L18)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  <w:hideMark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2028" w:type="dxa"/>
            <w:noWrap/>
            <w:vAlign w:val="bottom"/>
            <w:hideMark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49.716 </w:t>
            </w:r>
          </w:p>
        </w:tc>
        <w:tc>
          <w:tcPr>
            <w:tcW w:w="2028" w:type="dxa"/>
            <w:noWrap/>
            <w:vAlign w:val="bottom"/>
            <w:hideMark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58.030 </w:t>
            </w:r>
          </w:p>
        </w:tc>
        <w:tc>
          <w:tcPr>
            <w:tcW w:w="2028" w:type="dxa"/>
            <w:noWrap/>
            <w:vAlign w:val="bottom"/>
            <w:hideMark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53.203 </w:t>
            </w:r>
          </w:p>
        </w:tc>
        <w:tc>
          <w:tcPr>
            <w:tcW w:w="2031" w:type="dxa"/>
            <w:noWrap/>
            <w:vAlign w:val="bottom"/>
            <w:hideMark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50.933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  <w:hideMark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2028" w:type="dxa"/>
            <w:noWrap/>
            <w:vAlign w:val="bottom"/>
            <w:hideMark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66.809 </w:t>
            </w:r>
          </w:p>
        </w:tc>
        <w:tc>
          <w:tcPr>
            <w:tcW w:w="2028" w:type="dxa"/>
            <w:noWrap/>
            <w:vAlign w:val="bottom"/>
            <w:hideMark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75.122 </w:t>
            </w:r>
          </w:p>
        </w:tc>
        <w:tc>
          <w:tcPr>
            <w:tcW w:w="2028" w:type="dxa"/>
            <w:noWrap/>
            <w:vAlign w:val="bottom"/>
            <w:hideMark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70.300 </w:t>
            </w:r>
          </w:p>
        </w:tc>
        <w:tc>
          <w:tcPr>
            <w:tcW w:w="2031" w:type="dxa"/>
            <w:noWrap/>
            <w:vAlign w:val="bottom"/>
            <w:hideMark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68.023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>Gruppo</w:t>
            </w:r>
            <w:proofErr w:type="spellEnd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 xml:space="preserve"> 2 (L8-L21)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52.234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60.547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55.722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53.444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71.898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80.212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75.389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73.122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>Gruppo</w:t>
            </w:r>
            <w:proofErr w:type="spellEnd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 xml:space="preserve"> 3 (L11-L24)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56.339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64.644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59.821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57.549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77.383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85.695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80.868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78.602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>Gruppo</w:t>
            </w:r>
            <w:proofErr w:type="spellEnd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 xml:space="preserve"> 4 (L14-L27)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60.550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68.862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64.032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61.765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83.281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91.588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86.766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84.494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>Gruppo</w:t>
            </w:r>
            <w:proofErr w:type="spellEnd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 xml:space="preserve"> 5 (L18-L31)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66.809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75.122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70.300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68.023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91.853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100.165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95.344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93.071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>Gruppo</w:t>
            </w:r>
            <w:proofErr w:type="spellEnd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 xml:space="preserve"> 6 (L21-L35)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71.898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80.212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75.389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73.122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101.316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109.629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104.803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102.536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Gruppo</w:t>
            </w:r>
            <w:proofErr w:type="spellEnd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 xml:space="preserve"> 7 (L24-L39)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77.383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85.695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80.868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78.602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111.697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120.005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115.182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112.908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>Gruppo</w:t>
            </w:r>
            <w:proofErr w:type="spellEnd"/>
            <w:r w:rsidRPr="00541CFA">
              <w:rPr>
                <w:rFonts w:ascii="Times New Roman" w:eastAsia="Times New Roman" w:hAnsi="Times New Roman" w:cs="Times New Roman"/>
                <w:b/>
                <w:bCs/>
              </w:rPr>
              <w:t xml:space="preserve"> 8 (L28-L43)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85.347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93.656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88.835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86.558 </w:t>
            </w:r>
          </w:p>
        </w:tc>
      </w:tr>
      <w:tr w:rsidR="00457F14" w:rsidRPr="00541CFA" w:rsidTr="007326F9">
        <w:trPr>
          <w:trHeight w:val="300"/>
        </w:trPr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123.291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131.601 </w:t>
            </w:r>
          </w:p>
        </w:tc>
        <w:tc>
          <w:tcPr>
            <w:tcW w:w="2028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126.779 </w:t>
            </w:r>
          </w:p>
        </w:tc>
        <w:tc>
          <w:tcPr>
            <w:tcW w:w="2031" w:type="dxa"/>
            <w:noWrap/>
            <w:vAlign w:val="bottom"/>
          </w:tcPr>
          <w:p w:rsidR="00457F14" w:rsidRPr="00541CFA" w:rsidRDefault="00457F14" w:rsidP="007326F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1CFA">
              <w:rPr>
                <w:rFonts w:ascii="Times New Roman" w:eastAsia="Times New Roman" w:hAnsi="Times New Roman" w:cs="Times New Roman"/>
              </w:rPr>
              <w:t xml:space="preserve"> 124.512 </w:t>
            </w:r>
          </w:p>
        </w:tc>
      </w:tr>
    </w:tbl>
    <w:p w:rsidR="00457F14" w:rsidRPr="00541CFA" w:rsidRDefault="00457F14" w:rsidP="00457F14">
      <w:pPr>
        <w:rPr>
          <w:rFonts w:ascii="Times New Roman" w:hAnsi="Times New Roman" w:cs="Times New Roman"/>
          <w:lang w:val="it-IT"/>
        </w:rPr>
      </w:pPr>
    </w:p>
    <w:p w:rsidR="00457F14" w:rsidRPr="00541CFA" w:rsidRDefault="00457F14" w:rsidP="00457F14">
      <w:pPr>
        <w:rPr>
          <w:rFonts w:ascii="Times New Roman" w:hAnsi="Times New Roman" w:cs="Times New Roman"/>
        </w:rPr>
      </w:pPr>
      <w:r w:rsidRPr="00541CFA">
        <w:rPr>
          <w:rFonts w:ascii="Times New Roman" w:hAnsi="Times New Roman" w:cs="Times New Roman"/>
        </w:rPr>
        <w:t xml:space="preserve">Dati espressi in euro. </w:t>
      </w:r>
      <w:proofErr w:type="spellStart"/>
      <w:r w:rsidRPr="00541CFA">
        <w:rPr>
          <w:rFonts w:ascii="Times New Roman" w:hAnsi="Times New Roman" w:cs="Times New Roman"/>
        </w:rPr>
        <w:t>Fonte</w:t>
      </w:r>
      <w:proofErr w:type="spellEnd"/>
      <w:r w:rsidRPr="00541CFA">
        <w:rPr>
          <w:rFonts w:ascii="Times New Roman" w:hAnsi="Times New Roman" w:cs="Times New Roman"/>
        </w:rPr>
        <w:t xml:space="preserve">: </w:t>
      </w:r>
      <w:hyperlink r:id="rId6" w:history="1">
        <w:r w:rsidRPr="00541CFA">
          <w:rPr>
            <w:rStyle w:val="Collegamentoipertestuale"/>
            <w:rFonts w:ascii="Times New Roman" w:hAnsi="Times New Roman" w:cs="Times New Roman"/>
          </w:rPr>
          <w:t>School Teachers’ Pay and Conditions Document 2013 and Guidance on School Teachers’ Pay and Conditions September 2013</w:t>
        </w:r>
      </w:hyperlink>
      <w:r w:rsidRPr="00541CFA">
        <w:rPr>
          <w:rFonts w:ascii="Times New Roman" w:hAnsi="Times New Roman" w:cs="Times New Roman"/>
        </w:rPr>
        <w:t xml:space="preserve"> </w:t>
      </w:r>
    </w:p>
    <w:p w:rsidR="000015A2" w:rsidRPr="00541CFA" w:rsidRDefault="000015A2">
      <w:pPr>
        <w:rPr>
          <w:rFonts w:ascii="Times New Roman" w:hAnsi="Times New Roman" w:cs="Times New Roman"/>
        </w:rPr>
      </w:pPr>
    </w:p>
    <w:sectPr w:rsidR="000015A2" w:rsidRPr="00541CFA" w:rsidSect="00AF548C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BDB"/>
    <w:multiLevelType w:val="hybridMultilevel"/>
    <w:tmpl w:val="F8848A9A"/>
    <w:lvl w:ilvl="0" w:tplc="7B341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713B"/>
    <w:multiLevelType w:val="hybridMultilevel"/>
    <w:tmpl w:val="9DD45FD2"/>
    <w:lvl w:ilvl="0" w:tplc="9880D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47678"/>
    <w:multiLevelType w:val="hybridMultilevel"/>
    <w:tmpl w:val="97E01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C703A"/>
    <w:multiLevelType w:val="hybridMultilevel"/>
    <w:tmpl w:val="6A0CC8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14"/>
    <w:rsid w:val="000015A2"/>
    <w:rsid w:val="00457F14"/>
    <w:rsid w:val="00541CFA"/>
    <w:rsid w:val="008B3CD8"/>
    <w:rsid w:val="00C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F1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7F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57F1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F1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7F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57F1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uploads/system/uploads/attachment_data/file/271275/130806_2013_stpcd_master_fina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2805</Characters>
  <Application>Microsoft Office Word</Application>
  <DocSecurity>0</DocSecurity>
  <Lines>187</Lines>
  <Paragraphs>126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2014-02-18T18:51:00Z</cp:lastPrinted>
  <dcterms:created xsi:type="dcterms:W3CDTF">2014-02-18T19:08:00Z</dcterms:created>
  <dcterms:modified xsi:type="dcterms:W3CDTF">2014-02-18T19:08:00Z</dcterms:modified>
</cp:coreProperties>
</file>