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0A2" w:rsidRDefault="0001101E" w:rsidP="000C40A2">
      <w:pPr>
        <w:pStyle w:val="NormaleWeb"/>
        <w:rPr>
          <w:rFonts w:ascii="Calibri" w:hAnsi="Calibri"/>
          <w:b/>
        </w:rPr>
      </w:pPr>
      <w:bookmarkStart w:id="0" w:name="_GoBack"/>
      <w:bookmarkEnd w:id="0"/>
      <w:r>
        <w:rPr>
          <w:rFonts w:ascii="Calibri" w:hAnsi="Calibri"/>
          <w:b/>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-114300</wp:posOffset>
            </wp:positionV>
            <wp:extent cx="6000750" cy="616585"/>
            <wp:effectExtent l="0" t="0" r="0" b="0"/>
            <wp:wrapNone/>
            <wp:docPr id="2" name="Immagine 2"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0" cy="616585"/>
                    </a:xfrm>
                    <a:prstGeom prst="rect">
                      <a:avLst/>
                    </a:prstGeom>
                    <a:noFill/>
                  </pic:spPr>
                </pic:pic>
              </a:graphicData>
            </a:graphic>
            <wp14:sizeRelH relativeFrom="page">
              <wp14:pctWidth>0</wp14:pctWidth>
            </wp14:sizeRelH>
            <wp14:sizeRelV relativeFrom="page">
              <wp14:pctHeight>0</wp14:pctHeight>
            </wp14:sizeRelV>
          </wp:anchor>
        </w:drawing>
      </w:r>
    </w:p>
    <w:p w:rsidR="000C40A2" w:rsidRDefault="000C40A2" w:rsidP="000C40A2">
      <w:pPr>
        <w:pStyle w:val="NormaleWeb"/>
        <w:jc w:val="center"/>
        <w:rPr>
          <w:rFonts w:ascii="Calibri" w:hAnsi="Calibri"/>
          <w:b/>
        </w:rPr>
      </w:pPr>
    </w:p>
    <w:p w:rsidR="000C40A2" w:rsidRDefault="000C40A2" w:rsidP="000C40A2">
      <w:pPr>
        <w:pStyle w:val="NormaleWeb"/>
        <w:jc w:val="center"/>
        <w:rPr>
          <w:rFonts w:ascii="Calibri" w:hAnsi="Calibri"/>
          <w:b/>
        </w:rPr>
      </w:pPr>
    </w:p>
    <w:p w:rsidR="00383DCA" w:rsidRDefault="00383DCA" w:rsidP="00383DCA">
      <w:pPr>
        <w:pStyle w:val="NormaleWeb"/>
        <w:spacing w:before="0" w:beforeAutospacing="0" w:after="0" w:afterAutospacing="0"/>
        <w:ind w:left="5629"/>
        <w:rPr>
          <w:bCs/>
        </w:rPr>
      </w:pPr>
      <w:r>
        <w:rPr>
          <w:bCs/>
        </w:rPr>
        <w:t xml:space="preserve">      </w:t>
      </w:r>
    </w:p>
    <w:p w:rsidR="000C40A2" w:rsidRPr="005A0A14" w:rsidRDefault="005A0A14" w:rsidP="005A0A14">
      <w:pPr>
        <w:jc w:val="center"/>
        <w:rPr>
          <w:b/>
        </w:rPr>
      </w:pPr>
      <w:r w:rsidRPr="005A0A14">
        <w:rPr>
          <w:b/>
        </w:rPr>
        <w:t>Il disegno di legge di stabilita’ 2013 – Precisazioni del Dipartimento delle Finanze</w:t>
      </w:r>
    </w:p>
    <w:p w:rsidR="005A0A14" w:rsidRDefault="005A0A14" w:rsidP="005A0A14">
      <w:pPr>
        <w:jc w:val="lowKashida"/>
        <w:rPr>
          <w:rFonts w:ascii="Calibri" w:hAnsi="Calibri"/>
          <w:b/>
        </w:rPr>
      </w:pPr>
    </w:p>
    <w:p w:rsidR="005A0A14" w:rsidRDefault="005A0A14" w:rsidP="005A0A14">
      <w:pPr>
        <w:jc w:val="lowKashida"/>
        <w:rPr>
          <w:rFonts w:ascii="Calibri" w:hAnsi="Calibri"/>
          <w:b/>
        </w:rPr>
      </w:pPr>
    </w:p>
    <w:p w:rsidR="000C40A2" w:rsidRPr="00BB09F4" w:rsidRDefault="005A0A14" w:rsidP="005A0A14">
      <w:pPr>
        <w:ind w:firstLine="360"/>
        <w:jc w:val="lowKashida"/>
        <w:rPr>
          <w:bCs/>
          <w:lang w:eastAsia="it-IT"/>
        </w:rPr>
      </w:pPr>
      <w:r>
        <w:rPr>
          <w:rFonts w:ascii="Calibri" w:hAnsi="Calibri"/>
          <w:b/>
        </w:rPr>
        <w:t xml:space="preserve"> </w:t>
      </w:r>
      <w:r w:rsidR="000C40A2" w:rsidRPr="00BB09F4">
        <w:rPr>
          <w:bCs/>
          <w:lang w:eastAsia="it-IT"/>
        </w:rPr>
        <w:t>L’articolo</w:t>
      </w:r>
      <w:r>
        <w:rPr>
          <w:bCs/>
          <w:lang w:eastAsia="it-IT"/>
        </w:rPr>
        <w:t xml:space="preserve"> </w:t>
      </w:r>
      <w:r w:rsidRPr="00BB09F4">
        <w:rPr>
          <w:bCs/>
          <w:lang w:eastAsia="it-IT"/>
        </w:rPr>
        <w:t>“La legge di  stabilita’ alla guerra dei numeri”, di Massimo Baldini, Simone Pellegrino e Alberto Zanardi</w:t>
      </w:r>
      <w:r>
        <w:rPr>
          <w:bCs/>
          <w:lang w:eastAsia="it-IT"/>
        </w:rPr>
        <w:t xml:space="preserve">, </w:t>
      </w:r>
      <w:r w:rsidR="000C40A2" w:rsidRPr="00BB09F4">
        <w:rPr>
          <w:bCs/>
          <w:lang w:eastAsia="it-IT"/>
        </w:rPr>
        <w:t xml:space="preserve">pubblicato il 24 ottobre u.s sul sito </w:t>
      </w:r>
      <w:hyperlink r:id="rId10" w:history="1">
        <w:r w:rsidR="000C40A2" w:rsidRPr="00BB09F4">
          <w:rPr>
            <w:rStyle w:val="Collegamentoipertestuale"/>
            <w:bCs/>
            <w:lang w:eastAsia="it-IT"/>
          </w:rPr>
          <w:t>www.lavoce.info</w:t>
        </w:r>
      </w:hyperlink>
      <w:r w:rsidRPr="005A0A14">
        <w:rPr>
          <w:rStyle w:val="Collegamentoipertestuale"/>
          <w:bCs/>
          <w:color w:val="auto"/>
          <w:u w:val="none"/>
          <w:lang w:eastAsia="it-IT"/>
        </w:rPr>
        <w:t>,</w:t>
      </w:r>
      <w:r w:rsidR="000C40A2" w:rsidRPr="00BB09F4">
        <w:rPr>
          <w:bCs/>
          <w:lang w:eastAsia="it-IT"/>
        </w:rPr>
        <w:t xml:space="preserve">  contesta alcune cifre illustrate dal Ministro dell’Economia e delle Finanze nel corso della Sua audizione sul disegno di legge di stabilita’ dinanzi alle Commissioni bilancio di Camera e Senato.</w:t>
      </w:r>
    </w:p>
    <w:p w:rsidR="000C40A2" w:rsidRPr="00BB09F4" w:rsidRDefault="000C40A2" w:rsidP="000C40A2">
      <w:pPr>
        <w:rPr>
          <w:bCs/>
          <w:lang w:eastAsia="it-IT"/>
        </w:rPr>
      </w:pPr>
    </w:p>
    <w:p w:rsidR="000C40A2" w:rsidRPr="00BB09F4" w:rsidRDefault="000C40A2" w:rsidP="000C40A2">
      <w:pPr>
        <w:ind w:firstLine="360"/>
        <w:rPr>
          <w:bCs/>
          <w:lang w:eastAsia="it-IT"/>
        </w:rPr>
      </w:pPr>
      <w:r w:rsidRPr="00BB09F4">
        <w:rPr>
          <w:bCs/>
          <w:lang w:eastAsia="it-IT"/>
        </w:rPr>
        <w:t>In particolare, si sostiene che:</w:t>
      </w:r>
    </w:p>
    <w:p w:rsidR="000C40A2" w:rsidRPr="00BB09F4" w:rsidRDefault="000C40A2" w:rsidP="000C40A2">
      <w:pPr>
        <w:numPr>
          <w:ilvl w:val="0"/>
          <w:numId w:val="4"/>
        </w:numPr>
        <w:jc w:val="both"/>
        <w:rPr>
          <w:bCs/>
          <w:lang w:eastAsia="it-IT"/>
        </w:rPr>
      </w:pPr>
      <w:r w:rsidRPr="00BB09F4">
        <w:rPr>
          <w:bCs/>
          <w:lang w:eastAsia="it-IT"/>
        </w:rPr>
        <w:t>le misure adottate in materia di Irpef non beneficerebbero il 99 per cento dei contribuenti;</w:t>
      </w:r>
    </w:p>
    <w:p w:rsidR="000C40A2" w:rsidRPr="00383DCA" w:rsidRDefault="000C40A2" w:rsidP="000C40A2">
      <w:pPr>
        <w:numPr>
          <w:ilvl w:val="0"/>
          <w:numId w:val="4"/>
        </w:numPr>
        <w:jc w:val="both"/>
        <w:rPr>
          <w:bCs/>
          <w:i/>
          <w:lang w:eastAsia="it-IT"/>
        </w:rPr>
      </w:pPr>
      <w:r w:rsidRPr="00383DCA">
        <w:rPr>
          <w:bCs/>
          <w:i/>
          <w:lang w:eastAsia="it-IT"/>
        </w:rPr>
        <w:t xml:space="preserve">‘le cifre illustrate dal Ministro raccontano soltanto un pezzo della storia, quella dell’Irpef. Ma la manovra fiscale ha il suo punto qualificante nella scambio “meno Irpef - più Iva” prevedendo, accanto agli interventi sulle aliquote e sulle agevolazioni Irpef, anche l’aumento dell’aliquota ordinaria Iva al 22 per cento e l’aliquota intermedia all’11 per cento’. </w:t>
      </w:r>
    </w:p>
    <w:p w:rsidR="00383DCA" w:rsidRDefault="00383DCA" w:rsidP="00383DCA">
      <w:pPr>
        <w:jc w:val="both"/>
        <w:rPr>
          <w:color w:val="FF0000"/>
        </w:rPr>
      </w:pPr>
    </w:p>
    <w:p w:rsidR="00383DCA" w:rsidRPr="00383DCA" w:rsidRDefault="00383DCA" w:rsidP="00383DCA">
      <w:pPr>
        <w:ind w:firstLine="360"/>
        <w:jc w:val="both"/>
      </w:pPr>
      <w:r w:rsidRPr="00383DCA">
        <w:t xml:space="preserve">Inoltre, </w:t>
      </w:r>
      <w:r w:rsidR="004D6C7F">
        <w:t xml:space="preserve">sul sito </w:t>
      </w:r>
      <w:hyperlink r:id="rId11" w:history="1">
        <w:r w:rsidR="004D6C7F" w:rsidRPr="00BB09F4">
          <w:rPr>
            <w:rStyle w:val="Collegamentoipertestuale"/>
            <w:bCs/>
            <w:lang w:eastAsia="it-IT"/>
          </w:rPr>
          <w:t>www.lavoce.info</w:t>
        </w:r>
      </w:hyperlink>
      <w:r w:rsidR="004D6C7F" w:rsidRPr="004D6C7F">
        <w:rPr>
          <w:rStyle w:val="Collegamentoipertestuale"/>
          <w:bCs/>
          <w:color w:val="auto"/>
          <w:u w:val="none"/>
          <w:lang w:eastAsia="it-IT"/>
        </w:rPr>
        <w:t xml:space="preserve"> e’</w:t>
      </w:r>
      <w:r w:rsidR="004D6C7F">
        <w:rPr>
          <w:rStyle w:val="Collegamentoipertestuale"/>
          <w:bCs/>
          <w:color w:val="auto"/>
          <w:u w:val="none"/>
          <w:lang w:eastAsia="it-IT"/>
        </w:rPr>
        <w:t xml:space="preserve"> presente un intervista</w:t>
      </w:r>
      <w:r w:rsidR="004D6C7F" w:rsidRPr="004D6C7F">
        <w:t xml:space="preserve"> </w:t>
      </w:r>
      <w:r w:rsidR="004D6C7F" w:rsidRPr="00383DCA">
        <w:t>sulla legge di Stabilità</w:t>
      </w:r>
      <w:r w:rsidR="004D6C7F">
        <w:rPr>
          <w:rStyle w:val="Collegamentoipertestuale"/>
          <w:bCs/>
          <w:color w:val="auto"/>
          <w:u w:val="none"/>
          <w:lang w:eastAsia="it-IT"/>
        </w:rPr>
        <w:t xml:space="preserve"> rilasciata da </w:t>
      </w:r>
      <w:r w:rsidR="004D6C7F">
        <w:t>Tito Boeri</w:t>
      </w:r>
      <w:r w:rsidRPr="00383DCA">
        <w:t xml:space="preserve"> a SkyTG24 il 24 ottobre</w:t>
      </w:r>
      <w:r w:rsidR="00E83E1A">
        <w:t xml:space="preserve"> </w:t>
      </w:r>
      <w:r w:rsidR="004D6C7F">
        <w:t>in cui</w:t>
      </w:r>
      <w:r w:rsidR="005A0A14">
        <w:t>, con riferimento alle misure a</w:t>
      </w:r>
      <w:r w:rsidR="004D6C7F">
        <w:t>dottate in materia di Irpef, si afferma</w:t>
      </w:r>
      <w:r w:rsidR="005A0A14">
        <w:t xml:space="preserve"> </w:t>
      </w:r>
      <w:r w:rsidRPr="00383DCA">
        <w:t xml:space="preserve">che: </w:t>
      </w:r>
      <w:r w:rsidRPr="00383DCA">
        <w:rPr>
          <w:i/>
          <w:iCs/>
        </w:rPr>
        <w:t xml:space="preserve">‘con l’effetto congiunto dell’abolizione di deduzioni e detrazioni soprattutto per alcuni [contribuenti] che avevano delle forti detrazioni è difficile che davvero ci possa essere un guadagno’. </w:t>
      </w:r>
    </w:p>
    <w:p w:rsidR="000C40A2" w:rsidRPr="00BB09F4" w:rsidRDefault="000C40A2" w:rsidP="000C40A2">
      <w:pPr>
        <w:rPr>
          <w:bCs/>
          <w:lang w:eastAsia="it-IT"/>
        </w:rPr>
      </w:pPr>
    </w:p>
    <w:p w:rsidR="000C40A2" w:rsidRPr="002B5815" w:rsidRDefault="000C40A2" w:rsidP="000C40A2">
      <w:pPr>
        <w:ind w:firstLine="360"/>
        <w:jc w:val="both"/>
        <w:rPr>
          <w:bCs/>
          <w:lang w:eastAsia="it-IT"/>
        </w:rPr>
      </w:pPr>
      <w:r w:rsidRPr="002B5815">
        <w:rPr>
          <w:bCs/>
          <w:lang w:eastAsia="it-IT"/>
        </w:rPr>
        <w:t xml:space="preserve">Il Dipartimento delle Finanze, che ha predisposto le relazioni tecniche alle misure tributarie contenute nel DDL di stabilità del 2013 e ha elaborato i dati relativi agli effetti distributivi delle misure illustrati dal Ministro </w:t>
      </w:r>
      <w:r w:rsidR="005A0A14">
        <w:rPr>
          <w:bCs/>
          <w:lang w:eastAsia="it-IT"/>
        </w:rPr>
        <w:t>in Parlamento</w:t>
      </w:r>
      <w:r w:rsidRPr="002B5815">
        <w:rPr>
          <w:bCs/>
          <w:lang w:eastAsia="it-IT"/>
        </w:rPr>
        <w:t>, precisa quanto segue.</w:t>
      </w:r>
    </w:p>
    <w:p w:rsidR="000C40A2" w:rsidRPr="002B5815" w:rsidRDefault="000C40A2" w:rsidP="000C40A2">
      <w:pPr>
        <w:ind w:firstLine="360"/>
        <w:jc w:val="both"/>
        <w:rPr>
          <w:bCs/>
          <w:lang w:eastAsia="it-IT"/>
        </w:rPr>
      </w:pPr>
    </w:p>
    <w:p w:rsidR="000C40A2" w:rsidRPr="002B5815" w:rsidRDefault="000C40A2" w:rsidP="000C40A2">
      <w:pPr>
        <w:ind w:firstLine="360"/>
        <w:jc w:val="both"/>
        <w:rPr>
          <w:bCs/>
          <w:lang w:eastAsia="it-IT"/>
        </w:rPr>
      </w:pPr>
      <w:r w:rsidRPr="002B5815">
        <w:rPr>
          <w:bCs/>
          <w:lang w:eastAsia="it-IT"/>
        </w:rPr>
        <w:t>Per la stima degli effetti distributivi delle misure in materia di Irpef e’ stato utili</w:t>
      </w:r>
      <w:r w:rsidR="009E74F2" w:rsidRPr="002B5815">
        <w:rPr>
          <w:bCs/>
          <w:lang w:eastAsia="it-IT"/>
        </w:rPr>
        <w:t>z</w:t>
      </w:r>
      <w:r w:rsidRPr="002B5815">
        <w:rPr>
          <w:bCs/>
          <w:lang w:eastAsia="it-IT"/>
        </w:rPr>
        <w:t xml:space="preserve">zato un modello di microsimulazione basato sui dati e </w:t>
      </w:r>
      <w:r w:rsidR="009E74F2" w:rsidRPr="002B5815">
        <w:rPr>
          <w:bCs/>
          <w:lang w:eastAsia="it-IT"/>
        </w:rPr>
        <w:t>sul</w:t>
      </w:r>
      <w:r w:rsidRPr="002B5815">
        <w:rPr>
          <w:bCs/>
          <w:lang w:eastAsia="it-IT"/>
        </w:rPr>
        <w:t>le informazioni desumibili dalle ultime dichiarazioni dei redditi disponibili in Anagrafe Tributaria. Il modello calcola, per ogni singolo contribuente, gli effetti complessivi del beneficio derivante dalla riduzione delle prime due aliquote e d</w:t>
      </w:r>
      <w:r w:rsidR="009E74F2" w:rsidRPr="002B5815">
        <w:rPr>
          <w:bCs/>
          <w:lang w:eastAsia="it-IT"/>
        </w:rPr>
        <w:t>a</w:t>
      </w:r>
      <w:r w:rsidRPr="002B5815">
        <w:rPr>
          <w:bCs/>
          <w:lang w:eastAsia="it-IT"/>
        </w:rPr>
        <w:t>ll’aggravio derivante dai nuovi limiti all’utilizzo di deduzioni e detrazioni.</w:t>
      </w:r>
    </w:p>
    <w:p w:rsidR="000C40A2" w:rsidRPr="002B5815" w:rsidRDefault="000C40A2" w:rsidP="000C40A2">
      <w:pPr>
        <w:ind w:firstLine="360"/>
        <w:jc w:val="both"/>
        <w:rPr>
          <w:bCs/>
          <w:lang w:eastAsia="it-IT"/>
        </w:rPr>
      </w:pPr>
      <w:r w:rsidRPr="002B5815">
        <w:rPr>
          <w:bCs/>
          <w:lang w:eastAsia="it-IT"/>
        </w:rPr>
        <w:t>Dalle elaborazioni e’ risultato che le misure previste dal disegno di legge di stabilita’ incidono circa 30,8 milioni di contribuenti IRPEF, su una platea complessiva di circa 41,5 milioni di soggetti che presentano la dichiarazione dei redditi</w:t>
      </w:r>
      <w:r w:rsidRPr="002B5815">
        <w:rPr>
          <w:rStyle w:val="Rimandonotaapidipagina"/>
          <w:bCs/>
          <w:lang w:eastAsia="it-IT"/>
        </w:rPr>
        <w:footnoteReference w:id="1"/>
      </w:r>
      <w:r w:rsidRPr="002B5815">
        <w:rPr>
          <w:bCs/>
          <w:lang w:eastAsia="it-IT"/>
        </w:rPr>
        <w:t xml:space="preserve">. In particolare, si conferma che i contribuenti favoriti dalle nuove disposizioni sono circa 30,3 milioni con un beneficio medio di circa 160 euro. </w:t>
      </w:r>
      <w:r w:rsidR="009E74F2" w:rsidRPr="002B5815">
        <w:rPr>
          <w:bCs/>
          <w:lang w:eastAsia="it-IT"/>
        </w:rPr>
        <w:t xml:space="preserve">I </w:t>
      </w:r>
      <w:r w:rsidRPr="002B5815">
        <w:rPr>
          <w:bCs/>
          <w:lang w:eastAsia="it-IT"/>
        </w:rPr>
        <w:t>contribuenti con reddito complessivo tra 25.000 e 45.000 euro sono quelli che hanno il maggior beneficio medio, mentre  il beneficio medio si riduce progressivamente per i contribuenti con reddito complessivo superiore a 45.000</w:t>
      </w:r>
      <w:r w:rsidR="009E74F2" w:rsidRPr="002B5815">
        <w:rPr>
          <w:bCs/>
          <w:lang w:eastAsia="it-IT"/>
        </w:rPr>
        <w:t xml:space="preserve"> euro</w:t>
      </w:r>
      <w:r w:rsidRPr="002B5815">
        <w:rPr>
          <w:bCs/>
          <w:lang w:eastAsia="it-IT"/>
        </w:rPr>
        <w:t xml:space="preserve">. </w:t>
      </w:r>
    </w:p>
    <w:p w:rsidR="000C40A2" w:rsidRPr="002B5815" w:rsidRDefault="000C40A2" w:rsidP="000C40A2">
      <w:pPr>
        <w:ind w:firstLine="360"/>
        <w:jc w:val="both"/>
        <w:rPr>
          <w:bCs/>
          <w:lang w:eastAsia="it-IT"/>
        </w:rPr>
      </w:pPr>
      <w:r w:rsidRPr="002B5815">
        <w:rPr>
          <w:bCs/>
          <w:u w:val="single"/>
          <w:lang w:eastAsia="it-IT"/>
        </w:rPr>
        <w:t>Pertanto</w:t>
      </w:r>
      <w:r w:rsidRPr="002B5815">
        <w:rPr>
          <w:bCs/>
          <w:lang w:eastAsia="it-IT"/>
        </w:rPr>
        <w:t xml:space="preserve">, come riportato in Parlamento dal Ministro, </w:t>
      </w:r>
      <w:r w:rsidRPr="002B5815">
        <w:rPr>
          <w:bCs/>
          <w:u w:val="single"/>
          <w:lang w:eastAsia="it-IT"/>
        </w:rPr>
        <w:t>le misure in materia di imposta personale sul reddito favoriscono quasi il 99 per cento</w:t>
      </w:r>
      <w:r w:rsidRPr="002B5815">
        <w:rPr>
          <w:bCs/>
          <w:lang w:eastAsia="it-IT"/>
        </w:rPr>
        <w:t xml:space="preserve"> (30,3 milioni) </w:t>
      </w:r>
      <w:r w:rsidRPr="002B5815">
        <w:rPr>
          <w:bCs/>
          <w:u w:val="single"/>
          <w:lang w:eastAsia="it-IT"/>
        </w:rPr>
        <w:t>degli effettivi contribuenti Irpef</w:t>
      </w:r>
      <w:r w:rsidRPr="002B5815">
        <w:rPr>
          <w:bCs/>
          <w:lang w:eastAsia="it-IT"/>
        </w:rPr>
        <w:t xml:space="preserve"> (30,8 milioni).  </w:t>
      </w:r>
    </w:p>
    <w:p w:rsidR="000C40A2" w:rsidRPr="002B5815" w:rsidRDefault="000C40A2" w:rsidP="000C40A2">
      <w:pPr>
        <w:ind w:firstLine="360"/>
        <w:jc w:val="both"/>
        <w:rPr>
          <w:bCs/>
          <w:lang w:eastAsia="it-IT"/>
        </w:rPr>
      </w:pPr>
    </w:p>
    <w:p w:rsidR="000C40A2" w:rsidRPr="002B5815" w:rsidRDefault="000C40A2" w:rsidP="000C40A2">
      <w:pPr>
        <w:ind w:firstLine="360"/>
        <w:jc w:val="both"/>
        <w:rPr>
          <w:bCs/>
          <w:lang w:eastAsia="it-IT"/>
        </w:rPr>
      </w:pPr>
      <w:r w:rsidRPr="002B5815">
        <w:rPr>
          <w:bCs/>
          <w:lang w:eastAsia="it-IT"/>
        </w:rPr>
        <w:lastRenderedPageBreak/>
        <w:t>Per completezza, ricordiamo che i contribuenti sfavoriti, per i quali l’aggravio derivante dall’introduzione della franchigia di 250 euro e dal tetto alle spese detraibili prevale rispetto al beneficio della riduzione delle aliquote, sono circa 495 mila, con un aggravio medio di circa 190 euro che cresce al crescere del reddito complessivo.</w:t>
      </w:r>
    </w:p>
    <w:p w:rsidR="000C40A2" w:rsidRPr="002B5815" w:rsidRDefault="000C40A2" w:rsidP="000C40A2">
      <w:pPr>
        <w:ind w:firstLine="360"/>
        <w:jc w:val="both"/>
        <w:rPr>
          <w:bCs/>
          <w:lang w:eastAsia="it-IT"/>
        </w:rPr>
      </w:pPr>
    </w:p>
    <w:p w:rsidR="000C40A2" w:rsidRPr="002B5815" w:rsidRDefault="000C40A2" w:rsidP="000C40A2">
      <w:pPr>
        <w:ind w:firstLine="360"/>
        <w:jc w:val="both"/>
        <w:rPr>
          <w:bCs/>
          <w:lang w:eastAsia="it-IT"/>
        </w:rPr>
      </w:pPr>
      <w:r w:rsidRPr="002B5815">
        <w:rPr>
          <w:bCs/>
          <w:lang w:eastAsia="it-IT"/>
        </w:rPr>
        <w:t xml:space="preserve">Le misure adottate, infine, non producono alcun effetto per 10,7 milioni di soggetti, perlopiù incapienti.  </w:t>
      </w:r>
    </w:p>
    <w:p w:rsidR="000C40A2" w:rsidRPr="002B5815" w:rsidRDefault="000C40A2" w:rsidP="000C40A2">
      <w:pPr>
        <w:jc w:val="both"/>
        <w:rPr>
          <w:bCs/>
          <w:lang w:eastAsia="it-IT"/>
        </w:rPr>
      </w:pPr>
    </w:p>
    <w:p w:rsidR="000C40A2" w:rsidRPr="002B5815" w:rsidRDefault="000C40A2" w:rsidP="000C40A2">
      <w:pPr>
        <w:jc w:val="both"/>
        <w:rPr>
          <w:bCs/>
          <w:lang w:eastAsia="it-IT"/>
        </w:rPr>
      </w:pPr>
    </w:p>
    <w:p w:rsidR="000C40A2" w:rsidRPr="002B5815" w:rsidRDefault="000C40A2" w:rsidP="000C40A2">
      <w:pPr>
        <w:ind w:firstLine="360"/>
        <w:jc w:val="both"/>
        <w:rPr>
          <w:bCs/>
          <w:lang w:eastAsia="it-IT"/>
        </w:rPr>
      </w:pPr>
      <w:r w:rsidRPr="002B5815">
        <w:rPr>
          <w:bCs/>
          <w:lang w:eastAsia="it-IT"/>
        </w:rPr>
        <w:t>In relazione all’osservazione relativa allo ‘scambio meno Irpef-più IVA’, indicato come punto qualificante della manovra fiscale, occorre precisare che il disegno di legge di stabilita’ e’ intervenuto su una legislazione vigente, ovvero l’articolo 21 del DL n. 95/2012 che modifica l’articolo 40 del DL n. 98/2011.</w:t>
      </w:r>
    </w:p>
    <w:p w:rsidR="000C40A2" w:rsidRPr="002B5815" w:rsidRDefault="000C40A2" w:rsidP="000C40A2">
      <w:pPr>
        <w:ind w:firstLine="360"/>
        <w:jc w:val="both"/>
        <w:rPr>
          <w:bCs/>
          <w:lang w:eastAsia="it-IT"/>
        </w:rPr>
      </w:pPr>
      <w:r w:rsidRPr="002B5815">
        <w:rPr>
          <w:bCs/>
          <w:lang w:eastAsia="it-IT"/>
        </w:rPr>
        <w:t>La legislazione vigente prevede per un solo semestre dell’anno 2013 (dall’1 luglio al 31 dicembre) un aumento di due punti percentuali delle aliquote IVA ordinaria e ridotta, rispettivamente dal 21% al 23% e dal 10% al 12%, con una successiva riduzione di un punto percentuale delle stesse aliquote a decorrere dal primo gennaio 2014. L’articolo 12, comma 1, del disegno di legge di stabilità ha quindi disposto la riduzione di un punto percentuale degli aumenti delle aliquote previsti per il solo anno 2013 dalla legislazione vigente.</w:t>
      </w:r>
    </w:p>
    <w:p w:rsidR="000C40A2" w:rsidRDefault="000C40A2" w:rsidP="000C40A2">
      <w:pPr>
        <w:ind w:firstLine="360"/>
        <w:jc w:val="both"/>
        <w:rPr>
          <w:bCs/>
          <w:lang w:eastAsia="it-IT"/>
        </w:rPr>
      </w:pPr>
      <w:r w:rsidRPr="002B5815">
        <w:rPr>
          <w:bCs/>
          <w:lang w:eastAsia="it-IT"/>
        </w:rPr>
        <w:t>Lo schema che segue riassume le variazioni delle aliquote Iva (ordinaria e ridotta) previste dagli interventi normativi sopra menzionati:</w:t>
      </w:r>
    </w:p>
    <w:p w:rsidR="00383DCA" w:rsidRPr="00BB09F4" w:rsidRDefault="00383DCA" w:rsidP="000C40A2">
      <w:pPr>
        <w:ind w:firstLine="360"/>
        <w:jc w:val="both"/>
        <w:rPr>
          <w:bCs/>
          <w:lang w:eastAsia="it-IT"/>
        </w:rPr>
      </w:pPr>
    </w:p>
    <w:p w:rsidR="000C40A2" w:rsidRPr="00BB09F4" w:rsidRDefault="000C40A2" w:rsidP="000C40A2">
      <w:pPr>
        <w:rPr>
          <w:bCs/>
          <w:lang w:eastAsia="it-IT"/>
        </w:rPr>
      </w:pPr>
    </w:p>
    <w:tbl>
      <w:tblPr>
        <w:tblW w:w="8748" w:type="dxa"/>
        <w:jc w:val="center"/>
        <w:tblInd w:w="-13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325"/>
        <w:gridCol w:w="3287"/>
        <w:gridCol w:w="3136"/>
      </w:tblGrid>
      <w:tr w:rsidR="000C40A2" w:rsidTr="000C40A2">
        <w:trPr>
          <w:trHeight w:val="630"/>
          <w:jc w:val="center"/>
        </w:trPr>
        <w:tc>
          <w:tcPr>
            <w:tcW w:w="2325" w:type="dxa"/>
            <w:noWrap/>
            <w:tcMar>
              <w:top w:w="0" w:type="dxa"/>
              <w:left w:w="70" w:type="dxa"/>
              <w:bottom w:w="0" w:type="dxa"/>
              <w:right w:w="70" w:type="dxa"/>
            </w:tcMar>
            <w:vAlign w:val="bottom"/>
          </w:tcPr>
          <w:p w:rsidR="000C40A2" w:rsidRPr="001516F3" w:rsidRDefault="000C40A2" w:rsidP="000C40A2">
            <w:pPr>
              <w:rPr>
                <w:rFonts w:ascii="Calibri" w:hAnsi="Calibri" w:cs="Arial"/>
                <w:sz w:val="20"/>
                <w:szCs w:val="20"/>
              </w:rPr>
            </w:pPr>
            <w:r w:rsidRPr="001516F3">
              <w:rPr>
                <w:rFonts w:ascii="Calibri" w:hAnsi="Calibri" w:cs="Arial"/>
                <w:sz w:val="20"/>
                <w:szCs w:val="20"/>
              </w:rPr>
              <w:t> </w:t>
            </w:r>
          </w:p>
        </w:tc>
        <w:tc>
          <w:tcPr>
            <w:tcW w:w="3287" w:type="dxa"/>
            <w:shd w:val="clear" w:color="auto" w:fill="C0C0C0"/>
            <w:tcMar>
              <w:top w:w="0" w:type="dxa"/>
              <w:left w:w="70" w:type="dxa"/>
              <w:bottom w:w="0" w:type="dxa"/>
              <w:right w:w="70" w:type="dxa"/>
            </w:tcMar>
            <w:vAlign w:val="center"/>
          </w:tcPr>
          <w:p w:rsidR="000C40A2" w:rsidRPr="001516F3" w:rsidRDefault="000C40A2" w:rsidP="000C40A2">
            <w:pPr>
              <w:jc w:val="center"/>
              <w:rPr>
                <w:rFonts w:ascii="Calibri" w:hAnsi="Calibri" w:cs="Arial"/>
                <w:b/>
                <w:bCs/>
              </w:rPr>
            </w:pPr>
            <w:r w:rsidRPr="001516F3">
              <w:rPr>
                <w:rFonts w:ascii="Calibri" w:hAnsi="Calibri" w:cs="Arial"/>
                <w:b/>
                <w:bCs/>
                <w:sz w:val="22"/>
                <w:szCs w:val="22"/>
              </w:rPr>
              <w:t>dal  01/07/2013 al 31/12/2013</w:t>
            </w:r>
          </w:p>
        </w:tc>
        <w:tc>
          <w:tcPr>
            <w:tcW w:w="3136" w:type="dxa"/>
            <w:shd w:val="clear" w:color="auto" w:fill="C0C0C0"/>
            <w:tcMar>
              <w:top w:w="0" w:type="dxa"/>
              <w:left w:w="70" w:type="dxa"/>
              <w:bottom w:w="0" w:type="dxa"/>
              <w:right w:w="70" w:type="dxa"/>
            </w:tcMar>
            <w:vAlign w:val="center"/>
          </w:tcPr>
          <w:p w:rsidR="000C40A2" w:rsidRPr="001516F3" w:rsidRDefault="000C40A2" w:rsidP="000C40A2">
            <w:pPr>
              <w:jc w:val="center"/>
              <w:rPr>
                <w:rFonts w:ascii="Calibri" w:hAnsi="Calibri" w:cs="Arial"/>
                <w:b/>
                <w:bCs/>
              </w:rPr>
            </w:pPr>
            <w:r w:rsidRPr="001516F3">
              <w:rPr>
                <w:rFonts w:ascii="Calibri" w:hAnsi="Calibri" w:cs="Arial"/>
                <w:b/>
                <w:bCs/>
                <w:sz w:val="22"/>
                <w:szCs w:val="22"/>
              </w:rPr>
              <w:t>dal 01/01/2014 in poi</w:t>
            </w:r>
          </w:p>
        </w:tc>
      </w:tr>
      <w:tr w:rsidR="000C40A2" w:rsidTr="000C40A2">
        <w:trPr>
          <w:trHeight w:val="840"/>
          <w:jc w:val="center"/>
        </w:trPr>
        <w:tc>
          <w:tcPr>
            <w:tcW w:w="2325" w:type="dxa"/>
            <w:shd w:val="clear" w:color="auto" w:fill="C0C0C0"/>
            <w:noWrap/>
            <w:tcMar>
              <w:top w:w="0" w:type="dxa"/>
              <w:left w:w="70" w:type="dxa"/>
              <w:bottom w:w="0" w:type="dxa"/>
              <w:right w:w="70" w:type="dxa"/>
            </w:tcMar>
            <w:vAlign w:val="center"/>
          </w:tcPr>
          <w:p w:rsidR="000C40A2" w:rsidRPr="001516F3" w:rsidRDefault="000C40A2" w:rsidP="000C40A2">
            <w:pPr>
              <w:jc w:val="center"/>
              <w:rPr>
                <w:rFonts w:ascii="Calibri" w:hAnsi="Calibri" w:cs="Arial"/>
                <w:b/>
                <w:bCs/>
                <w:sz w:val="20"/>
                <w:szCs w:val="20"/>
              </w:rPr>
            </w:pPr>
            <w:r w:rsidRPr="001516F3">
              <w:rPr>
                <w:rFonts w:ascii="Calibri" w:hAnsi="Calibri" w:cs="Arial"/>
                <w:b/>
                <w:bCs/>
                <w:sz w:val="20"/>
                <w:szCs w:val="20"/>
              </w:rPr>
              <w:t>D.L. 95/2012 – art. 21</w:t>
            </w:r>
          </w:p>
        </w:tc>
        <w:tc>
          <w:tcPr>
            <w:tcW w:w="3287" w:type="dxa"/>
            <w:tcMar>
              <w:top w:w="0" w:type="dxa"/>
              <w:left w:w="70" w:type="dxa"/>
              <w:bottom w:w="0" w:type="dxa"/>
              <w:right w:w="70" w:type="dxa"/>
            </w:tcMar>
            <w:vAlign w:val="center"/>
          </w:tcPr>
          <w:p w:rsidR="000C40A2" w:rsidRPr="001516F3" w:rsidRDefault="000C40A2" w:rsidP="000C40A2">
            <w:pPr>
              <w:rPr>
                <w:rFonts w:ascii="Calibri" w:hAnsi="Calibri" w:cs="Arial"/>
                <w:sz w:val="20"/>
                <w:szCs w:val="20"/>
              </w:rPr>
            </w:pPr>
            <w:r w:rsidRPr="001516F3">
              <w:rPr>
                <w:rFonts w:ascii="Calibri" w:hAnsi="Calibri" w:cs="Arial"/>
                <w:sz w:val="20"/>
                <w:szCs w:val="20"/>
              </w:rPr>
              <w:t xml:space="preserve"> </w:t>
            </w:r>
            <w:r w:rsidRPr="001516F3">
              <w:rPr>
                <w:rFonts w:ascii="Calibri" w:hAnsi="Calibri" w:cs="Arial"/>
                <w:sz w:val="20"/>
                <w:szCs w:val="20"/>
              </w:rPr>
              <w:br/>
              <w:t>•</w:t>
            </w:r>
            <w:r>
              <w:rPr>
                <w:rFonts w:ascii="Calibri" w:hAnsi="Calibri" w:cs="Arial"/>
                <w:sz w:val="20"/>
                <w:szCs w:val="20"/>
              </w:rPr>
              <w:t xml:space="preserve"> aliquota ridotta:</w:t>
            </w:r>
            <w:r w:rsidRPr="001516F3">
              <w:rPr>
                <w:rFonts w:ascii="Calibri" w:hAnsi="Calibri" w:cs="Arial"/>
                <w:sz w:val="20"/>
                <w:szCs w:val="20"/>
              </w:rPr>
              <w:t xml:space="preserve"> dal 10% al 12%</w:t>
            </w:r>
            <w:r w:rsidRPr="001516F3">
              <w:rPr>
                <w:rFonts w:ascii="Calibri" w:hAnsi="Calibri" w:cs="Arial"/>
                <w:sz w:val="20"/>
                <w:szCs w:val="20"/>
              </w:rPr>
              <w:br/>
              <w:t xml:space="preserve">• </w:t>
            </w:r>
            <w:r>
              <w:rPr>
                <w:rFonts w:ascii="Calibri" w:hAnsi="Calibri" w:cs="Arial"/>
                <w:sz w:val="20"/>
                <w:szCs w:val="20"/>
              </w:rPr>
              <w:t xml:space="preserve">aliquota ordinaria:  </w:t>
            </w:r>
            <w:r w:rsidRPr="001516F3">
              <w:rPr>
                <w:rFonts w:ascii="Calibri" w:hAnsi="Calibri" w:cs="Arial"/>
                <w:sz w:val="20"/>
                <w:szCs w:val="20"/>
              </w:rPr>
              <w:t>dal 21% al 23%</w:t>
            </w:r>
          </w:p>
        </w:tc>
        <w:tc>
          <w:tcPr>
            <w:tcW w:w="3136" w:type="dxa"/>
            <w:tcMar>
              <w:top w:w="0" w:type="dxa"/>
              <w:left w:w="70" w:type="dxa"/>
              <w:bottom w:w="0" w:type="dxa"/>
              <w:right w:w="70" w:type="dxa"/>
            </w:tcMar>
            <w:vAlign w:val="center"/>
          </w:tcPr>
          <w:p w:rsidR="000C40A2" w:rsidRPr="001516F3" w:rsidRDefault="000C40A2" w:rsidP="000C40A2">
            <w:pPr>
              <w:rPr>
                <w:rFonts w:ascii="Calibri" w:hAnsi="Calibri" w:cs="Arial"/>
                <w:sz w:val="20"/>
                <w:szCs w:val="20"/>
              </w:rPr>
            </w:pPr>
            <w:r w:rsidRPr="001516F3">
              <w:rPr>
                <w:rFonts w:ascii="Calibri" w:hAnsi="Calibri" w:cs="Arial"/>
                <w:sz w:val="20"/>
                <w:szCs w:val="20"/>
              </w:rPr>
              <w:t xml:space="preserve">• </w:t>
            </w:r>
            <w:r>
              <w:rPr>
                <w:rFonts w:ascii="Calibri" w:hAnsi="Calibri" w:cs="Arial"/>
                <w:sz w:val="20"/>
                <w:szCs w:val="20"/>
              </w:rPr>
              <w:t xml:space="preserve">aliquota ridotta: </w:t>
            </w:r>
            <w:r w:rsidRPr="001516F3">
              <w:rPr>
                <w:rFonts w:ascii="Calibri" w:hAnsi="Calibri" w:cs="Arial"/>
                <w:sz w:val="20"/>
                <w:szCs w:val="20"/>
              </w:rPr>
              <w:t>dal 12% al'11%</w:t>
            </w:r>
            <w:r w:rsidRPr="001516F3">
              <w:rPr>
                <w:rFonts w:ascii="Calibri" w:hAnsi="Calibri" w:cs="Arial"/>
                <w:sz w:val="20"/>
                <w:szCs w:val="20"/>
              </w:rPr>
              <w:br/>
              <w:t xml:space="preserve">• </w:t>
            </w:r>
            <w:r>
              <w:rPr>
                <w:rFonts w:ascii="Calibri" w:hAnsi="Calibri" w:cs="Arial"/>
                <w:sz w:val="20"/>
                <w:szCs w:val="20"/>
              </w:rPr>
              <w:t xml:space="preserve">aliquota ordinaria: </w:t>
            </w:r>
            <w:r w:rsidRPr="001516F3">
              <w:rPr>
                <w:rFonts w:ascii="Calibri" w:hAnsi="Calibri" w:cs="Arial"/>
                <w:sz w:val="20"/>
                <w:szCs w:val="20"/>
              </w:rPr>
              <w:t>dal 23% al 22%</w:t>
            </w:r>
          </w:p>
        </w:tc>
      </w:tr>
      <w:tr w:rsidR="000C40A2" w:rsidTr="000C40A2">
        <w:trPr>
          <w:trHeight w:val="840"/>
          <w:jc w:val="center"/>
        </w:trPr>
        <w:tc>
          <w:tcPr>
            <w:tcW w:w="2325" w:type="dxa"/>
            <w:shd w:val="clear" w:color="auto" w:fill="C0C0C0"/>
            <w:noWrap/>
            <w:tcMar>
              <w:top w:w="0" w:type="dxa"/>
              <w:left w:w="70" w:type="dxa"/>
              <w:bottom w:w="0" w:type="dxa"/>
              <w:right w:w="70" w:type="dxa"/>
            </w:tcMar>
            <w:vAlign w:val="center"/>
          </w:tcPr>
          <w:p w:rsidR="000C40A2" w:rsidRPr="001516F3" w:rsidRDefault="000C40A2" w:rsidP="000C40A2">
            <w:pPr>
              <w:jc w:val="center"/>
              <w:rPr>
                <w:rFonts w:ascii="Calibri" w:hAnsi="Calibri" w:cs="Arial"/>
                <w:b/>
                <w:bCs/>
                <w:sz w:val="20"/>
                <w:szCs w:val="20"/>
              </w:rPr>
            </w:pPr>
            <w:r w:rsidRPr="001516F3">
              <w:rPr>
                <w:rFonts w:ascii="Calibri" w:hAnsi="Calibri" w:cs="Arial"/>
                <w:b/>
                <w:bCs/>
                <w:sz w:val="20"/>
                <w:szCs w:val="20"/>
              </w:rPr>
              <w:t>DDL Stabilità per il 2013 – art. 12, c. 1</w:t>
            </w:r>
          </w:p>
        </w:tc>
        <w:tc>
          <w:tcPr>
            <w:tcW w:w="6423" w:type="dxa"/>
            <w:gridSpan w:val="2"/>
            <w:tcMar>
              <w:top w:w="0" w:type="dxa"/>
              <w:left w:w="70" w:type="dxa"/>
              <w:bottom w:w="0" w:type="dxa"/>
              <w:right w:w="70" w:type="dxa"/>
            </w:tcMar>
            <w:vAlign w:val="center"/>
          </w:tcPr>
          <w:p w:rsidR="00383DCA" w:rsidRDefault="00383DCA" w:rsidP="000C40A2">
            <w:pPr>
              <w:jc w:val="center"/>
              <w:rPr>
                <w:rFonts w:ascii="Calibri" w:hAnsi="Calibri" w:cs="Arial"/>
                <w:b/>
                <w:sz w:val="20"/>
                <w:szCs w:val="20"/>
                <w:u w:val="single"/>
              </w:rPr>
            </w:pPr>
          </w:p>
          <w:p w:rsidR="009E74F2" w:rsidRDefault="009E74F2" w:rsidP="000C40A2">
            <w:pPr>
              <w:jc w:val="center"/>
              <w:rPr>
                <w:rFonts w:ascii="Calibri" w:hAnsi="Calibri" w:cs="Arial"/>
                <w:b/>
                <w:bCs/>
                <w:sz w:val="22"/>
                <w:szCs w:val="22"/>
                <w:u w:val="single"/>
              </w:rPr>
            </w:pPr>
            <w:r w:rsidRPr="002B5815">
              <w:rPr>
                <w:rFonts w:ascii="Calibri" w:hAnsi="Calibri" w:cs="Arial"/>
                <w:b/>
                <w:sz w:val="20"/>
                <w:szCs w:val="20"/>
                <w:u w:val="single"/>
              </w:rPr>
              <w:t>dal 01/07/2013</w:t>
            </w:r>
            <w:r w:rsidR="00383DCA" w:rsidRPr="00383DCA">
              <w:rPr>
                <w:rFonts w:ascii="Calibri" w:hAnsi="Calibri" w:cs="Arial"/>
                <w:b/>
                <w:bCs/>
                <w:sz w:val="22"/>
                <w:szCs w:val="22"/>
                <w:u w:val="single"/>
              </w:rPr>
              <w:t xml:space="preserve"> in poi</w:t>
            </w:r>
          </w:p>
          <w:p w:rsidR="00383DCA" w:rsidRPr="009E74F2" w:rsidRDefault="00383DCA" w:rsidP="000C40A2">
            <w:pPr>
              <w:jc w:val="center"/>
              <w:rPr>
                <w:rFonts w:ascii="Calibri" w:hAnsi="Calibri" w:cs="Arial"/>
                <w:b/>
                <w:sz w:val="20"/>
                <w:szCs w:val="20"/>
                <w:u w:val="single"/>
              </w:rPr>
            </w:pPr>
          </w:p>
          <w:p w:rsidR="000C40A2" w:rsidRPr="001516F3" w:rsidRDefault="000C40A2" w:rsidP="000C40A2">
            <w:pPr>
              <w:jc w:val="center"/>
              <w:rPr>
                <w:rFonts w:ascii="Calibri" w:hAnsi="Calibri" w:cs="Arial"/>
                <w:sz w:val="20"/>
                <w:szCs w:val="20"/>
              </w:rPr>
            </w:pPr>
            <w:r w:rsidRPr="001516F3">
              <w:rPr>
                <w:rFonts w:ascii="Calibri" w:hAnsi="Calibri" w:cs="Arial"/>
                <w:sz w:val="20"/>
                <w:szCs w:val="20"/>
              </w:rPr>
              <w:t xml:space="preserve">• </w:t>
            </w:r>
            <w:r>
              <w:rPr>
                <w:rFonts w:ascii="Calibri" w:hAnsi="Calibri" w:cs="Arial"/>
                <w:sz w:val="20"/>
                <w:szCs w:val="20"/>
              </w:rPr>
              <w:t xml:space="preserve">aliquota ridotta: </w:t>
            </w:r>
            <w:r w:rsidRPr="001516F3">
              <w:rPr>
                <w:rFonts w:ascii="Calibri" w:hAnsi="Calibri" w:cs="Arial"/>
                <w:sz w:val="20"/>
                <w:szCs w:val="20"/>
              </w:rPr>
              <w:t>dal 10% all'11%</w:t>
            </w:r>
            <w:r w:rsidRPr="001516F3">
              <w:rPr>
                <w:rFonts w:ascii="Calibri" w:hAnsi="Calibri" w:cs="Arial"/>
                <w:sz w:val="20"/>
                <w:szCs w:val="20"/>
              </w:rPr>
              <w:br/>
            </w:r>
            <w:r w:rsidR="009E74F2">
              <w:rPr>
                <w:rFonts w:ascii="Calibri" w:hAnsi="Calibri" w:cs="Arial"/>
                <w:sz w:val="20"/>
                <w:szCs w:val="20"/>
              </w:rPr>
              <w:t xml:space="preserve">    </w:t>
            </w:r>
            <w:r w:rsidRPr="001516F3">
              <w:rPr>
                <w:rFonts w:ascii="Calibri" w:hAnsi="Calibri" w:cs="Arial"/>
                <w:sz w:val="20"/>
                <w:szCs w:val="20"/>
              </w:rPr>
              <w:t xml:space="preserve">• </w:t>
            </w:r>
            <w:r>
              <w:rPr>
                <w:rFonts w:ascii="Calibri" w:hAnsi="Calibri" w:cs="Arial"/>
                <w:sz w:val="20"/>
                <w:szCs w:val="20"/>
              </w:rPr>
              <w:t xml:space="preserve">aliquota ordinaria: </w:t>
            </w:r>
            <w:r w:rsidRPr="001516F3">
              <w:rPr>
                <w:rFonts w:ascii="Calibri" w:hAnsi="Calibri" w:cs="Arial"/>
                <w:sz w:val="20"/>
                <w:szCs w:val="20"/>
              </w:rPr>
              <w:t>dal 21% al 22%</w:t>
            </w:r>
          </w:p>
        </w:tc>
      </w:tr>
    </w:tbl>
    <w:p w:rsidR="000C40A2" w:rsidRDefault="000C40A2" w:rsidP="000C40A2">
      <w:pPr>
        <w:jc w:val="both"/>
      </w:pPr>
    </w:p>
    <w:p w:rsidR="00383DCA" w:rsidRDefault="00383DCA" w:rsidP="000C40A2">
      <w:pPr>
        <w:jc w:val="both"/>
      </w:pPr>
    </w:p>
    <w:p w:rsidR="000C40A2" w:rsidRDefault="000C40A2" w:rsidP="00383DCA">
      <w:pPr>
        <w:ind w:firstLine="360"/>
        <w:jc w:val="both"/>
        <w:rPr>
          <w:bCs/>
          <w:lang w:eastAsia="it-IT"/>
        </w:rPr>
      </w:pPr>
      <w:r w:rsidRPr="00383DCA">
        <w:rPr>
          <w:bCs/>
          <w:lang w:eastAsia="it-IT"/>
        </w:rPr>
        <w:t xml:space="preserve">Nel confronto con la legislazione vigente - l’unico coerente con la metodologia utilizzata per stimare gli effetti finanziari e distributivi delle manovre -  le disposizioni in materia di Irpef e IVA contenute nel disegno di legge di stabilita’ non realizzano uno scambio ‘meno Irpef-più IVA’ ma, piuttosto, assicurano  ‘meno Irpef a decorrere dall’anno 2013 e  meno IVA per il solo anno 2013’ con ovvi effetti distributivi positivi per le famiglie. </w:t>
      </w:r>
    </w:p>
    <w:p w:rsidR="00383DCA" w:rsidRDefault="00383DCA" w:rsidP="00383DCA">
      <w:pPr>
        <w:ind w:firstLine="360"/>
        <w:jc w:val="both"/>
        <w:rPr>
          <w:bCs/>
          <w:lang w:eastAsia="it-IT"/>
        </w:rPr>
      </w:pPr>
    </w:p>
    <w:p w:rsidR="00383DCA" w:rsidRPr="00383DCA" w:rsidRDefault="00383DCA" w:rsidP="00383DCA">
      <w:pPr>
        <w:ind w:firstLine="360"/>
        <w:jc w:val="both"/>
        <w:rPr>
          <w:bCs/>
          <w:lang w:eastAsia="it-IT"/>
        </w:rPr>
      </w:pPr>
    </w:p>
    <w:p w:rsidR="000C40A2" w:rsidRPr="00383DCA" w:rsidRDefault="000C40A2" w:rsidP="00383DCA">
      <w:pPr>
        <w:ind w:firstLine="360"/>
        <w:jc w:val="both"/>
        <w:rPr>
          <w:bCs/>
          <w:lang w:eastAsia="it-IT"/>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383DCA">
        <w:rPr>
          <w:bCs/>
          <w:lang w:eastAsia="it-IT"/>
        </w:rPr>
        <w:t>Il Direttore Generale delle Finanze</w:t>
      </w:r>
    </w:p>
    <w:p w:rsidR="000C40A2" w:rsidRPr="00383DCA" w:rsidRDefault="000C40A2" w:rsidP="00383DCA">
      <w:pPr>
        <w:ind w:firstLine="360"/>
        <w:jc w:val="both"/>
        <w:rPr>
          <w:bCs/>
          <w:lang w:eastAsia="it-IT"/>
        </w:rPr>
      </w:pPr>
      <w:r w:rsidRPr="00383DCA">
        <w:rPr>
          <w:bCs/>
          <w:lang w:eastAsia="it-IT"/>
        </w:rPr>
        <w:tab/>
      </w:r>
      <w:r w:rsidRPr="00383DCA">
        <w:rPr>
          <w:bCs/>
          <w:lang w:eastAsia="it-IT"/>
        </w:rPr>
        <w:tab/>
      </w:r>
      <w:r w:rsidRPr="00383DCA">
        <w:rPr>
          <w:bCs/>
          <w:lang w:eastAsia="it-IT"/>
        </w:rPr>
        <w:tab/>
      </w:r>
      <w:r w:rsidRPr="00383DCA">
        <w:rPr>
          <w:bCs/>
          <w:lang w:eastAsia="it-IT"/>
        </w:rPr>
        <w:tab/>
      </w:r>
      <w:r w:rsidRPr="00383DCA">
        <w:rPr>
          <w:bCs/>
          <w:lang w:eastAsia="it-IT"/>
        </w:rPr>
        <w:tab/>
      </w:r>
      <w:r w:rsidRPr="00383DCA">
        <w:rPr>
          <w:bCs/>
          <w:lang w:eastAsia="it-IT"/>
        </w:rPr>
        <w:tab/>
      </w:r>
      <w:r w:rsidRPr="00383DCA">
        <w:rPr>
          <w:bCs/>
          <w:lang w:eastAsia="it-IT"/>
        </w:rPr>
        <w:tab/>
      </w:r>
      <w:r w:rsidRPr="00383DCA">
        <w:rPr>
          <w:bCs/>
          <w:lang w:eastAsia="it-IT"/>
        </w:rPr>
        <w:tab/>
      </w:r>
      <w:r w:rsidRPr="00383DCA">
        <w:rPr>
          <w:bCs/>
          <w:lang w:eastAsia="it-IT"/>
        </w:rPr>
        <w:tab/>
        <w:t>Fabrizia Lapecorella</w:t>
      </w:r>
    </w:p>
    <w:p w:rsidR="000C40A2" w:rsidRPr="00383DCA" w:rsidRDefault="000C40A2" w:rsidP="00383DCA">
      <w:pPr>
        <w:ind w:firstLine="360"/>
        <w:jc w:val="both"/>
        <w:rPr>
          <w:bCs/>
          <w:lang w:eastAsia="it-IT"/>
        </w:rPr>
      </w:pPr>
    </w:p>
    <w:p w:rsidR="000C40A2" w:rsidRPr="00BB09F4" w:rsidRDefault="000C40A2" w:rsidP="000C40A2">
      <w:pPr>
        <w:pStyle w:val="NormaleWeb"/>
        <w:jc w:val="both"/>
      </w:pPr>
      <w:r w:rsidRPr="00BB09F4">
        <w:t>Roma, 27 ottobre 2012</w:t>
      </w:r>
    </w:p>
    <w:sectPr w:rsidR="000C40A2" w:rsidRPr="00BB09F4">
      <w:footerReference w:type="even"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67D" w:rsidRDefault="00DE167D">
      <w:r>
        <w:separator/>
      </w:r>
    </w:p>
  </w:endnote>
  <w:endnote w:type="continuationSeparator" w:id="0">
    <w:p w:rsidR="00DE167D" w:rsidRDefault="00DE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0A2" w:rsidRDefault="000C40A2" w:rsidP="000C40A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C40A2" w:rsidRDefault="000C40A2" w:rsidP="000C40A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0A2" w:rsidRDefault="000C40A2" w:rsidP="000C40A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04032">
      <w:rPr>
        <w:rStyle w:val="Numeropagina"/>
        <w:noProof/>
      </w:rPr>
      <w:t>1</w:t>
    </w:r>
    <w:r>
      <w:rPr>
        <w:rStyle w:val="Numeropagina"/>
      </w:rPr>
      <w:fldChar w:fldCharType="end"/>
    </w:r>
  </w:p>
  <w:p w:rsidR="000C40A2" w:rsidRDefault="000C40A2" w:rsidP="000C40A2">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67D" w:rsidRDefault="00DE167D">
      <w:r>
        <w:separator/>
      </w:r>
    </w:p>
  </w:footnote>
  <w:footnote w:type="continuationSeparator" w:id="0">
    <w:p w:rsidR="00DE167D" w:rsidRDefault="00DE167D">
      <w:r>
        <w:continuationSeparator/>
      </w:r>
    </w:p>
  </w:footnote>
  <w:footnote w:id="1">
    <w:p w:rsidR="000C40A2" w:rsidRPr="00FC7FE4" w:rsidRDefault="000C40A2">
      <w:pPr>
        <w:pStyle w:val="Testonotaapidipagina"/>
        <w:rPr>
          <w:lang w:val="pt-BR"/>
        </w:rPr>
      </w:pPr>
      <w:r>
        <w:rPr>
          <w:rStyle w:val="Rimandonotaapidipagina"/>
        </w:rPr>
        <w:footnoteRef/>
      </w:r>
      <w:r>
        <w:t xml:space="preserve"> </w:t>
      </w:r>
      <w:r w:rsidRPr="00FC7FE4">
        <w:rPr>
          <w:lang w:val="pt-BR"/>
        </w:rPr>
        <w:t>Direttamente attraverso i modelli Unico o 730, ovvero indirettamente attraverso il modello 770 dei sostituti di imposta</w:t>
      </w:r>
      <w:r>
        <w:rPr>
          <w:lang w:val="pt-B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F3CC1"/>
    <w:multiLevelType w:val="hybridMultilevel"/>
    <w:tmpl w:val="DD164C8C"/>
    <w:lvl w:ilvl="0" w:tplc="AC5EFF60">
      <w:numFmt w:val="bullet"/>
      <w:lvlText w:val="-"/>
      <w:lvlJc w:val="left"/>
      <w:pPr>
        <w:tabs>
          <w:tab w:val="num" w:pos="1080"/>
        </w:tabs>
        <w:ind w:left="1080" w:hanging="360"/>
      </w:pPr>
      <w:rPr>
        <w:rFonts w:ascii="Arial" w:eastAsia="Times New Roman" w:hAnsi="Arial" w:cs="Arial" w:hint="default"/>
      </w:rPr>
    </w:lvl>
    <w:lvl w:ilvl="1" w:tplc="B94AEEFC" w:tentative="1">
      <w:start w:val="1"/>
      <w:numFmt w:val="bullet"/>
      <w:lvlText w:val="o"/>
      <w:lvlJc w:val="left"/>
      <w:pPr>
        <w:tabs>
          <w:tab w:val="num" w:pos="1800"/>
        </w:tabs>
        <w:ind w:left="1800" w:hanging="360"/>
      </w:pPr>
      <w:rPr>
        <w:rFonts w:ascii="Courier New" w:hAnsi="Courier New" w:cs="Courier New" w:hint="default"/>
      </w:rPr>
    </w:lvl>
    <w:lvl w:ilvl="2" w:tplc="C1CC65F4" w:tentative="1">
      <w:start w:val="1"/>
      <w:numFmt w:val="bullet"/>
      <w:lvlText w:val=""/>
      <w:lvlJc w:val="left"/>
      <w:pPr>
        <w:tabs>
          <w:tab w:val="num" w:pos="2520"/>
        </w:tabs>
        <w:ind w:left="2520" w:hanging="360"/>
      </w:pPr>
      <w:rPr>
        <w:rFonts w:ascii="Wingdings" w:hAnsi="Wingdings" w:hint="default"/>
      </w:rPr>
    </w:lvl>
    <w:lvl w:ilvl="3" w:tplc="9E362C36" w:tentative="1">
      <w:start w:val="1"/>
      <w:numFmt w:val="bullet"/>
      <w:lvlText w:val=""/>
      <w:lvlJc w:val="left"/>
      <w:pPr>
        <w:tabs>
          <w:tab w:val="num" w:pos="3240"/>
        </w:tabs>
        <w:ind w:left="3240" w:hanging="360"/>
      </w:pPr>
      <w:rPr>
        <w:rFonts w:ascii="Symbol" w:hAnsi="Symbol" w:hint="default"/>
      </w:rPr>
    </w:lvl>
    <w:lvl w:ilvl="4" w:tplc="5B16B356" w:tentative="1">
      <w:start w:val="1"/>
      <w:numFmt w:val="bullet"/>
      <w:lvlText w:val="o"/>
      <w:lvlJc w:val="left"/>
      <w:pPr>
        <w:tabs>
          <w:tab w:val="num" w:pos="3960"/>
        </w:tabs>
        <w:ind w:left="3960" w:hanging="360"/>
      </w:pPr>
      <w:rPr>
        <w:rFonts w:ascii="Courier New" w:hAnsi="Courier New" w:cs="Courier New" w:hint="default"/>
      </w:rPr>
    </w:lvl>
    <w:lvl w:ilvl="5" w:tplc="6002BA86" w:tentative="1">
      <w:start w:val="1"/>
      <w:numFmt w:val="bullet"/>
      <w:lvlText w:val=""/>
      <w:lvlJc w:val="left"/>
      <w:pPr>
        <w:tabs>
          <w:tab w:val="num" w:pos="4680"/>
        </w:tabs>
        <w:ind w:left="4680" w:hanging="360"/>
      </w:pPr>
      <w:rPr>
        <w:rFonts w:ascii="Wingdings" w:hAnsi="Wingdings" w:hint="default"/>
      </w:rPr>
    </w:lvl>
    <w:lvl w:ilvl="6" w:tplc="3368A88C" w:tentative="1">
      <w:start w:val="1"/>
      <w:numFmt w:val="bullet"/>
      <w:lvlText w:val=""/>
      <w:lvlJc w:val="left"/>
      <w:pPr>
        <w:tabs>
          <w:tab w:val="num" w:pos="5400"/>
        </w:tabs>
        <w:ind w:left="5400" w:hanging="360"/>
      </w:pPr>
      <w:rPr>
        <w:rFonts w:ascii="Symbol" w:hAnsi="Symbol" w:hint="default"/>
      </w:rPr>
    </w:lvl>
    <w:lvl w:ilvl="7" w:tplc="96E8E872" w:tentative="1">
      <w:start w:val="1"/>
      <w:numFmt w:val="bullet"/>
      <w:lvlText w:val="o"/>
      <w:lvlJc w:val="left"/>
      <w:pPr>
        <w:tabs>
          <w:tab w:val="num" w:pos="6120"/>
        </w:tabs>
        <w:ind w:left="6120" w:hanging="360"/>
      </w:pPr>
      <w:rPr>
        <w:rFonts w:ascii="Courier New" w:hAnsi="Courier New" w:cs="Courier New" w:hint="default"/>
      </w:rPr>
    </w:lvl>
    <w:lvl w:ilvl="8" w:tplc="E9AE4E08" w:tentative="1">
      <w:start w:val="1"/>
      <w:numFmt w:val="bullet"/>
      <w:lvlText w:val=""/>
      <w:lvlJc w:val="left"/>
      <w:pPr>
        <w:tabs>
          <w:tab w:val="num" w:pos="6840"/>
        </w:tabs>
        <w:ind w:left="6840" w:hanging="360"/>
      </w:pPr>
      <w:rPr>
        <w:rFonts w:ascii="Wingdings" w:hAnsi="Wingdings" w:hint="default"/>
      </w:rPr>
    </w:lvl>
  </w:abstractNum>
  <w:abstractNum w:abstractNumId="1">
    <w:nsid w:val="1B1B17AB"/>
    <w:multiLevelType w:val="hybridMultilevel"/>
    <w:tmpl w:val="28386CE4"/>
    <w:lvl w:ilvl="0" w:tplc="48C620FA">
      <w:start w:val="1"/>
      <w:numFmt w:val="decimal"/>
      <w:lvlText w:val="%1."/>
      <w:lvlJc w:val="left"/>
      <w:pPr>
        <w:ind w:left="720" w:hanging="360"/>
      </w:pPr>
      <w:rPr>
        <w:rFonts w:hint="default"/>
      </w:rPr>
    </w:lvl>
    <w:lvl w:ilvl="1" w:tplc="90E6641A" w:tentative="1">
      <w:start w:val="1"/>
      <w:numFmt w:val="lowerLetter"/>
      <w:lvlText w:val="%2."/>
      <w:lvlJc w:val="left"/>
      <w:pPr>
        <w:ind w:left="1440" w:hanging="360"/>
      </w:pPr>
    </w:lvl>
    <w:lvl w:ilvl="2" w:tplc="99968DBE" w:tentative="1">
      <w:start w:val="1"/>
      <w:numFmt w:val="lowerRoman"/>
      <w:lvlText w:val="%3."/>
      <w:lvlJc w:val="right"/>
      <w:pPr>
        <w:ind w:left="2160" w:hanging="180"/>
      </w:pPr>
    </w:lvl>
    <w:lvl w:ilvl="3" w:tplc="4AA051EC" w:tentative="1">
      <w:start w:val="1"/>
      <w:numFmt w:val="decimal"/>
      <w:lvlText w:val="%4."/>
      <w:lvlJc w:val="left"/>
      <w:pPr>
        <w:ind w:left="2880" w:hanging="360"/>
      </w:pPr>
    </w:lvl>
    <w:lvl w:ilvl="4" w:tplc="23D28E82" w:tentative="1">
      <w:start w:val="1"/>
      <w:numFmt w:val="lowerLetter"/>
      <w:lvlText w:val="%5."/>
      <w:lvlJc w:val="left"/>
      <w:pPr>
        <w:ind w:left="3600" w:hanging="360"/>
      </w:pPr>
    </w:lvl>
    <w:lvl w:ilvl="5" w:tplc="98522190" w:tentative="1">
      <w:start w:val="1"/>
      <w:numFmt w:val="lowerRoman"/>
      <w:lvlText w:val="%6."/>
      <w:lvlJc w:val="right"/>
      <w:pPr>
        <w:ind w:left="4320" w:hanging="180"/>
      </w:pPr>
    </w:lvl>
    <w:lvl w:ilvl="6" w:tplc="119E2DBA" w:tentative="1">
      <w:start w:val="1"/>
      <w:numFmt w:val="decimal"/>
      <w:lvlText w:val="%7."/>
      <w:lvlJc w:val="left"/>
      <w:pPr>
        <w:ind w:left="5040" w:hanging="360"/>
      </w:pPr>
    </w:lvl>
    <w:lvl w:ilvl="7" w:tplc="87BE0E8A" w:tentative="1">
      <w:start w:val="1"/>
      <w:numFmt w:val="lowerLetter"/>
      <w:lvlText w:val="%8."/>
      <w:lvlJc w:val="left"/>
      <w:pPr>
        <w:ind w:left="5760" w:hanging="360"/>
      </w:pPr>
    </w:lvl>
    <w:lvl w:ilvl="8" w:tplc="29CAA692" w:tentative="1">
      <w:start w:val="1"/>
      <w:numFmt w:val="lowerRoman"/>
      <w:lvlText w:val="%9."/>
      <w:lvlJc w:val="right"/>
      <w:pPr>
        <w:ind w:left="6480" w:hanging="180"/>
      </w:pPr>
    </w:lvl>
  </w:abstractNum>
  <w:abstractNum w:abstractNumId="2">
    <w:nsid w:val="27342AD7"/>
    <w:multiLevelType w:val="hybridMultilevel"/>
    <w:tmpl w:val="6C3E1574"/>
    <w:lvl w:ilvl="0" w:tplc="65A85532">
      <w:start w:val="1"/>
      <w:numFmt w:val="decimal"/>
      <w:lvlText w:val="%1."/>
      <w:lvlJc w:val="left"/>
      <w:pPr>
        <w:ind w:left="720" w:hanging="360"/>
      </w:pPr>
      <w:rPr>
        <w:rFonts w:hint="default"/>
      </w:rPr>
    </w:lvl>
    <w:lvl w:ilvl="1" w:tplc="BB3A5646" w:tentative="1">
      <w:start w:val="1"/>
      <w:numFmt w:val="lowerLetter"/>
      <w:lvlText w:val="%2."/>
      <w:lvlJc w:val="left"/>
      <w:pPr>
        <w:ind w:left="1440" w:hanging="360"/>
      </w:pPr>
    </w:lvl>
    <w:lvl w:ilvl="2" w:tplc="2AAC8618" w:tentative="1">
      <w:start w:val="1"/>
      <w:numFmt w:val="lowerRoman"/>
      <w:lvlText w:val="%3."/>
      <w:lvlJc w:val="right"/>
      <w:pPr>
        <w:ind w:left="2160" w:hanging="180"/>
      </w:pPr>
    </w:lvl>
    <w:lvl w:ilvl="3" w:tplc="EC02B7C2" w:tentative="1">
      <w:start w:val="1"/>
      <w:numFmt w:val="decimal"/>
      <w:lvlText w:val="%4."/>
      <w:lvlJc w:val="left"/>
      <w:pPr>
        <w:ind w:left="2880" w:hanging="360"/>
      </w:pPr>
    </w:lvl>
    <w:lvl w:ilvl="4" w:tplc="4252933E" w:tentative="1">
      <w:start w:val="1"/>
      <w:numFmt w:val="lowerLetter"/>
      <w:lvlText w:val="%5."/>
      <w:lvlJc w:val="left"/>
      <w:pPr>
        <w:ind w:left="3600" w:hanging="360"/>
      </w:pPr>
    </w:lvl>
    <w:lvl w:ilvl="5" w:tplc="32148284" w:tentative="1">
      <w:start w:val="1"/>
      <w:numFmt w:val="lowerRoman"/>
      <w:lvlText w:val="%6."/>
      <w:lvlJc w:val="right"/>
      <w:pPr>
        <w:ind w:left="4320" w:hanging="180"/>
      </w:pPr>
    </w:lvl>
    <w:lvl w:ilvl="6" w:tplc="6512BDDE" w:tentative="1">
      <w:start w:val="1"/>
      <w:numFmt w:val="decimal"/>
      <w:lvlText w:val="%7."/>
      <w:lvlJc w:val="left"/>
      <w:pPr>
        <w:ind w:left="5040" w:hanging="360"/>
      </w:pPr>
    </w:lvl>
    <w:lvl w:ilvl="7" w:tplc="65F255DA" w:tentative="1">
      <w:start w:val="1"/>
      <w:numFmt w:val="lowerLetter"/>
      <w:lvlText w:val="%8."/>
      <w:lvlJc w:val="left"/>
      <w:pPr>
        <w:ind w:left="5760" w:hanging="360"/>
      </w:pPr>
    </w:lvl>
    <w:lvl w:ilvl="8" w:tplc="25545A98" w:tentative="1">
      <w:start w:val="1"/>
      <w:numFmt w:val="lowerRoman"/>
      <w:lvlText w:val="%9."/>
      <w:lvlJc w:val="right"/>
      <w:pPr>
        <w:ind w:left="6480" w:hanging="180"/>
      </w:pPr>
    </w:lvl>
  </w:abstractNum>
  <w:abstractNum w:abstractNumId="3">
    <w:nsid w:val="43ED2385"/>
    <w:multiLevelType w:val="hybridMultilevel"/>
    <w:tmpl w:val="A6B61DFC"/>
    <w:lvl w:ilvl="0" w:tplc="29D414C4">
      <w:start w:val="1"/>
      <w:numFmt w:val="decimal"/>
      <w:lvlText w:val="%1)"/>
      <w:lvlJc w:val="left"/>
      <w:pPr>
        <w:tabs>
          <w:tab w:val="num" w:pos="720"/>
        </w:tabs>
        <w:ind w:left="720" w:hanging="360"/>
      </w:pPr>
      <w:rPr>
        <w:rFonts w:hint="default"/>
      </w:rPr>
    </w:lvl>
    <w:lvl w:ilvl="1" w:tplc="0830854A" w:tentative="1">
      <w:start w:val="1"/>
      <w:numFmt w:val="lowerLetter"/>
      <w:lvlText w:val="%2."/>
      <w:lvlJc w:val="left"/>
      <w:pPr>
        <w:tabs>
          <w:tab w:val="num" w:pos="1440"/>
        </w:tabs>
        <w:ind w:left="1440" w:hanging="360"/>
      </w:pPr>
    </w:lvl>
    <w:lvl w:ilvl="2" w:tplc="0DAA9904" w:tentative="1">
      <w:start w:val="1"/>
      <w:numFmt w:val="lowerRoman"/>
      <w:lvlText w:val="%3."/>
      <w:lvlJc w:val="right"/>
      <w:pPr>
        <w:tabs>
          <w:tab w:val="num" w:pos="2160"/>
        </w:tabs>
        <w:ind w:left="2160" w:hanging="180"/>
      </w:pPr>
    </w:lvl>
    <w:lvl w:ilvl="3" w:tplc="ABA0A3E8" w:tentative="1">
      <w:start w:val="1"/>
      <w:numFmt w:val="decimal"/>
      <w:lvlText w:val="%4."/>
      <w:lvlJc w:val="left"/>
      <w:pPr>
        <w:tabs>
          <w:tab w:val="num" w:pos="2880"/>
        </w:tabs>
        <w:ind w:left="2880" w:hanging="360"/>
      </w:pPr>
    </w:lvl>
    <w:lvl w:ilvl="4" w:tplc="AA7A762A" w:tentative="1">
      <w:start w:val="1"/>
      <w:numFmt w:val="lowerLetter"/>
      <w:lvlText w:val="%5."/>
      <w:lvlJc w:val="left"/>
      <w:pPr>
        <w:tabs>
          <w:tab w:val="num" w:pos="3600"/>
        </w:tabs>
        <w:ind w:left="3600" w:hanging="360"/>
      </w:pPr>
    </w:lvl>
    <w:lvl w:ilvl="5" w:tplc="83E8F4A2" w:tentative="1">
      <w:start w:val="1"/>
      <w:numFmt w:val="lowerRoman"/>
      <w:lvlText w:val="%6."/>
      <w:lvlJc w:val="right"/>
      <w:pPr>
        <w:tabs>
          <w:tab w:val="num" w:pos="4320"/>
        </w:tabs>
        <w:ind w:left="4320" w:hanging="180"/>
      </w:pPr>
    </w:lvl>
    <w:lvl w:ilvl="6" w:tplc="B48C117A" w:tentative="1">
      <w:start w:val="1"/>
      <w:numFmt w:val="decimal"/>
      <w:lvlText w:val="%7."/>
      <w:lvlJc w:val="left"/>
      <w:pPr>
        <w:tabs>
          <w:tab w:val="num" w:pos="5040"/>
        </w:tabs>
        <w:ind w:left="5040" w:hanging="360"/>
      </w:pPr>
    </w:lvl>
    <w:lvl w:ilvl="7" w:tplc="E9725490" w:tentative="1">
      <w:start w:val="1"/>
      <w:numFmt w:val="lowerLetter"/>
      <w:lvlText w:val="%8."/>
      <w:lvlJc w:val="left"/>
      <w:pPr>
        <w:tabs>
          <w:tab w:val="num" w:pos="5760"/>
        </w:tabs>
        <w:ind w:left="5760" w:hanging="360"/>
      </w:pPr>
    </w:lvl>
    <w:lvl w:ilvl="8" w:tplc="B2F02472"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98"/>
    <w:rsid w:val="0001101E"/>
    <w:rsid w:val="000C40A2"/>
    <w:rsid w:val="00164A98"/>
    <w:rsid w:val="002B5815"/>
    <w:rsid w:val="00383DCA"/>
    <w:rsid w:val="004D6C7F"/>
    <w:rsid w:val="005212DD"/>
    <w:rsid w:val="005A0A14"/>
    <w:rsid w:val="00610374"/>
    <w:rsid w:val="00654624"/>
    <w:rsid w:val="008660FD"/>
    <w:rsid w:val="009E74F2"/>
    <w:rsid w:val="00B8672B"/>
    <w:rsid w:val="00C04032"/>
    <w:rsid w:val="00D2659E"/>
    <w:rsid w:val="00DE167D"/>
    <w:rsid w:val="00E83E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val="it-IT" w:eastAsia="en-US"/>
    </w:rPr>
  </w:style>
  <w:style w:type="paragraph" w:styleId="Titolo3">
    <w:name w:val="heading 3"/>
    <w:basedOn w:val="Normale"/>
    <w:qFormat/>
    <w:rsid w:val="00164A98"/>
    <w:pPr>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164A98"/>
    <w:rPr>
      <w:color w:val="0000FF"/>
      <w:u w:val="single"/>
    </w:rPr>
  </w:style>
  <w:style w:type="paragraph" w:styleId="NormaleWeb">
    <w:name w:val="Normal (Web)"/>
    <w:basedOn w:val="Normale"/>
    <w:rsid w:val="00164A98"/>
    <w:pPr>
      <w:spacing w:before="100" w:beforeAutospacing="1" w:after="100" w:afterAutospacing="1"/>
    </w:pPr>
    <w:rPr>
      <w:lang w:eastAsia="it-IT"/>
    </w:rPr>
  </w:style>
  <w:style w:type="paragraph" w:styleId="Pidipagina">
    <w:name w:val="footer"/>
    <w:basedOn w:val="Normale"/>
    <w:rsid w:val="001516F3"/>
    <w:pPr>
      <w:tabs>
        <w:tab w:val="center" w:pos="4819"/>
        <w:tab w:val="right" w:pos="9638"/>
      </w:tabs>
    </w:pPr>
  </w:style>
  <w:style w:type="character" w:styleId="Numeropagina">
    <w:name w:val="page number"/>
    <w:basedOn w:val="Carpredefinitoparagrafo"/>
    <w:rsid w:val="001516F3"/>
  </w:style>
  <w:style w:type="paragraph" w:customStyle="1" w:styleId="Testo">
    <w:name w:val="Testo"/>
    <w:basedOn w:val="Normale"/>
    <w:rsid w:val="001516F3"/>
    <w:pPr>
      <w:spacing w:line="360" w:lineRule="auto"/>
      <w:ind w:firstLine="709"/>
      <w:jc w:val="both"/>
    </w:pPr>
    <w:rPr>
      <w:lang w:eastAsia="it-IT"/>
    </w:rPr>
  </w:style>
  <w:style w:type="paragraph" w:styleId="Testofumetto">
    <w:name w:val="Balloon Text"/>
    <w:basedOn w:val="Normale"/>
    <w:semiHidden/>
    <w:rsid w:val="002C4854"/>
    <w:rPr>
      <w:rFonts w:ascii="Tahoma" w:hAnsi="Tahoma" w:cs="Tahoma"/>
      <w:sz w:val="16"/>
      <w:szCs w:val="16"/>
    </w:rPr>
  </w:style>
  <w:style w:type="paragraph" w:styleId="Testonotaapidipagina">
    <w:name w:val="footnote text"/>
    <w:basedOn w:val="Normale"/>
    <w:semiHidden/>
    <w:rsid w:val="004B5EC6"/>
    <w:rPr>
      <w:sz w:val="20"/>
      <w:szCs w:val="20"/>
    </w:rPr>
  </w:style>
  <w:style w:type="character" w:styleId="Rimandonotaapidipagina">
    <w:name w:val="footnote reference"/>
    <w:semiHidden/>
    <w:rsid w:val="004B5EC6"/>
    <w:rPr>
      <w:vertAlign w:val="superscript"/>
    </w:rPr>
  </w:style>
  <w:style w:type="character" w:customStyle="1" w:styleId="maiuscolo">
    <w:name w:val="maiuscolo"/>
    <w:rsid w:val="00505171"/>
  </w:style>
  <w:style w:type="character" w:customStyle="1" w:styleId="autore">
    <w:name w:val="autore"/>
    <w:rsid w:val="00505171"/>
  </w:style>
  <w:style w:type="character" w:customStyle="1" w:styleId="azzurro">
    <w:name w:val="azzurro"/>
    <w:rsid w:val="00505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val="it-IT" w:eastAsia="en-US"/>
    </w:rPr>
  </w:style>
  <w:style w:type="paragraph" w:styleId="Titolo3">
    <w:name w:val="heading 3"/>
    <w:basedOn w:val="Normale"/>
    <w:qFormat/>
    <w:rsid w:val="00164A98"/>
    <w:pPr>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164A98"/>
    <w:rPr>
      <w:color w:val="0000FF"/>
      <w:u w:val="single"/>
    </w:rPr>
  </w:style>
  <w:style w:type="paragraph" w:styleId="NormaleWeb">
    <w:name w:val="Normal (Web)"/>
    <w:basedOn w:val="Normale"/>
    <w:rsid w:val="00164A98"/>
    <w:pPr>
      <w:spacing w:before="100" w:beforeAutospacing="1" w:after="100" w:afterAutospacing="1"/>
    </w:pPr>
    <w:rPr>
      <w:lang w:eastAsia="it-IT"/>
    </w:rPr>
  </w:style>
  <w:style w:type="paragraph" w:styleId="Pidipagina">
    <w:name w:val="footer"/>
    <w:basedOn w:val="Normale"/>
    <w:rsid w:val="001516F3"/>
    <w:pPr>
      <w:tabs>
        <w:tab w:val="center" w:pos="4819"/>
        <w:tab w:val="right" w:pos="9638"/>
      </w:tabs>
    </w:pPr>
  </w:style>
  <w:style w:type="character" w:styleId="Numeropagina">
    <w:name w:val="page number"/>
    <w:basedOn w:val="Carpredefinitoparagrafo"/>
    <w:rsid w:val="001516F3"/>
  </w:style>
  <w:style w:type="paragraph" w:customStyle="1" w:styleId="Testo">
    <w:name w:val="Testo"/>
    <w:basedOn w:val="Normale"/>
    <w:rsid w:val="001516F3"/>
    <w:pPr>
      <w:spacing w:line="360" w:lineRule="auto"/>
      <w:ind w:firstLine="709"/>
      <w:jc w:val="both"/>
    </w:pPr>
    <w:rPr>
      <w:lang w:eastAsia="it-IT"/>
    </w:rPr>
  </w:style>
  <w:style w:type="paragraph" w:styleId="Testofumetto">
    <w:name w:val="Balloon Text"/>
    <w:basedOn w:val="Normale"/>
    <w:semiHidden/>
    <w:rsid w:val="002C4854"/>
    <w:rPr>
      <w:rFonts w:ascii="Tahoma" w:hAnsi="Tahoma" w:cs="Tahoma"/>
      <w:sz w:val="16"/>
      <w:szCs w:val="16"/>
    </w:rPr>
  </w:style>
  <w:style w:type="paragraph" w:styleId="Testonotaapidipagina">
    <w:name w:val="footnote text"/>
    <w:basedOn w:val="Normale"/>
    <w:semiHidden/>
    <w:rsid w:val="004B5EC6"/>
    <w:rPr>
      <w:sz w:val="20"/>
      <w:szCs w:val="20"/>
    </w:rPr>
  </w:style>
  <w:style w:type="character" w:styleId="Rimandonotaapidipagina">
    <w:name w:val="footnote reference"/>
    <w:semiHidden/>
    <w:rsid w:val="004B5EC6"/>
    <w:rPr>
      <w:vertAlign w:val="superscript"/>
    </w:rPr>
  </w:style>
  <w:style w:type="character" w:customStyle="1" w:styleId="maiuscolo">
    <w:name w:val="maiuscolo"/>
    <w:rsid w:val="00505171"/>
  </w:style>
  <w:style w:type="character" w:customStyle="1" w:styleId="autore">
    <w:name w:val="autore"/>
    <w:rsid w:val="00505171"/>
  </w:style>
  <w:style w:type="character" w:customStyle="1" w:styleId="azzurro">
    <w:name w:val="azzurro"/>
    <w:rsid w:val="00505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961006">
      <w:bodyDiv w:val="1"/>
      <w:marLeft w:val="0"/>
      <w:marRight w:val="0"/>
      <w:marTop w:val="0"/>
      <w:marBottom w:val="0"/>
      <w:divBdr>
        <w:top w:val="none" w:sz="0" w:space="0" w:color="auto"/>
        <w:left w:val="none" w:sz="0" w:space="0" w:color="auto"/>
        <w:bottom w:val="none" w:sz="0" w:space="0" w:color="auto"/>
        <w:right w:val="none" w:sz="0" w:space="0" w:color="auto"/>
      </w:divBdr>
      <w:divsChild>
        <w:div w:id="1215310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voce.inf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avoce.inf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0DAC8-AFEC-4CFE-8A15-9B104525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4595</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Comunicato stampa</vt:lpstr>
      <vt:lpstr>Comunicato stampa</vt:lpstr>
    </vt:vector>
  </TitlesOfParts>
  <Company>Ministero dell'Economia e delle Finanze</Company>
  <LinksUpToDate>false</LinksUpToDate>
  <CharactersWithSpaces>5390</CharactersWithSpaces>
  <SharedDoc>false</SharedDoc>
  <HLinks>
    <vt:vector size="12" baseType="variant">
      <vt:variant>
        <vt:i4>8192052</vt:i4>
      </vt:variant>
      <vt:variant>
        <vt:i4>3</vt:i4>
      </vt:variant>
      <vt:variant>
        <vt:i4>0</vt:i4>
      </vt:variant>
      <vt:variant>
        <vt:i4>5</vt:i4>
      </vt:variant>
      <vt:variant>
        <vt:lpwstr>http://www.lavoce.info/</vt:lpwstr>
      </vt:variant>
      <vt:variant>
        <vt:lpwstr/>
      </vt:variant>
      <vt:variant>
        <vt:i4>4784242</vt:i4>
      </vt:variant>
      <vt:variant>
        <vt:i4>0</vt:i4>
      </vt:variant>
      <vt:variant>
        <vt:i4>0</vt:i4>
      </vt:variant>
      <vt:variant>
        <vt:i4>5</vt:i4>
      </vt:variant>
      <vt:variant>
        <vt:lpwstr>mailto:info@lavoce.info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User</dc:creator>
  <cp:lastModifiedBy>Windows User</cp:lastModifiedBy>
  <cp:revision>2</cp:revision>
  <cp:lastPrinted>2012-10-26T18:55:00Z</cp:lastPrinted>
  <dcterms:created xsi:type="dcterms:W3CDTF">2013-10-22T09:21:00Z</dcterms:created>
  <dcterms:modified xsi:type="dcterms:W3CDTF">2013-10-22T09:21:00Z</dcterms:modified>
</cp:coreProperties>
</file>